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ACB" w:rsidRPr="00B94678" w:rsidRDefault="007B3ACB" w:rsidP="00B32107">
      <w:pPr>
        <w:numPr>
          <w:ilvl w:val="0"/>
          <w:numId w:val="11"/>
        </w:numPr>
        <w:rPr>
          <w:rFonts w:cs="Arial"/>
          <w:sz w:val="22"/>
          <w:szCs w:val="22"/>
        </w:rPr>
      </w:pPr>
      <w:r w:rsidRPr="00B94678">
        <w:rPr>
          <w:rFonts w:cs="Arial"/>
          <w:sz w:val="22"/>
          <w:szCs w:val="22"/>
        </w:rPr>
        <w:t>Purpose:</w:t>
      </w:r>
    </w:p>
    <w:p w:rsidR="0085287C" w:rsidRPr="00B94678" w:rsidRDefault="0085287C" w:rsidP="00606FA2">
      <w:pPr>
        <w:rPr>
          <w:rFonts w:cs="Arial"/>
          <w:sz w:val="22"/>
          <w:szCs w:val="22"/>
        </w:rPr>
      </w:pPr>
    </w:p>
    <w:p w:rsidR="00FD07E1" w:rsidRPr="00B94678" w:rsidRDefault="006836A0" w:rsidP="00606FA2">
      <w:pPr>
        <w:rPr>
          <w:rFonts w:cs="Arial"/>
          <w:sz w:val="22"/>
          <w:szCs w:val="22"/>
        </w:rPr>
      </w:pPr>
      <w:r w:rsidRPr="006836A0">
        <w:rPr>
          <w:rFonts w:cs="Arial"/>
          <w:sz w:val="22"/>
          <w:szCs w:val="22"/>
        </w:rPr>
        <w:t>To clearly define global packaging and labeling requirements to Allegion Suppliers.</w:t>
      </w:r>
    </w:p>
    <w:p w:rsidR="00EE2E95" w:rsidRPr="00B94678" w:rsidRDefault="00EE2E95" w:rsidP="00617EFD">
      <w:pPr>
        <w:rPr>
          <w:rFonts w:cs="Arial"/>
          <w:sz w:val="22"/>
          <w:szCs w:val="22"/>
          <w:u w:val="single"/>
        </w:rPr>
      </w:pPr>
    </w:p>
    <w:p w:rsidR="00747DAB" w:rsidRPr="00B94678" w:rsidRDefault="00747DAB" w:rsidP="00B32107">
      <w:pPr>
        <w:numPr>
          <w:ilvl w:val="0"/>
          <w:numId w:val="11"/>
        </w:numPr>
        <w:rPr>
          <w:rFonts w:cs="Arial"/>
          <w:sz w:val="22"/>
          <w:szCs w:val="22"/>
        </w:rPr>
      </w:pPr>
      <w:r w:rsidRPr="00B94678">
        <w:rPr>
          <w:rFonts w:cs="Arial"/>
          <w:sz w:val="22"/>
          <w:szCs w:val="22"/>
        </w:rPr>
        <w:t>Application:</w:t>
      </w:r>
    </w:p>
    <w:p w:rsidR="0085287C" w:rsidRPr="00B94678" w:rsidRDefault="0085287C" w:rsidP="00030023">
      <w:pPr>
        <w:rPr>
          <w:rFonts w:cs="Arial"/>
          <w:sz w:val="22"/>
          <w:szCs w:val="22"/>
        </w:rPr>
      </w:pPr>
    </w:p>
    <w:p w:rsidR="00030023" w:rsidRPr="00B94678" w:rsidRDefault="006836A0" w:rsidP="00030023">
      <w:pPr>
        <w:rPr>
          <w:rFonts w:cs="Arial"/>
          <w:sz w:val="22"/>
          <w:szCs w:val="22"/>
        </w:rPr>
      </w:pPr>
      <w:r w:rsidRPr="006836A0">
        <w:rPr>
          <w:rFonts w:cs="Arial"/>
          <w:sz w:val="22"/>
          <w:szCs w:val="22"/>
        </w:rPr>
        <w:t>This standard applies to all material items shipped to</w:t>
      </w:r>
      <w:r>
        <w:rPr>
          <w:rFonts w:cs="Arial"/>
          <w:sz w:val="22"/>
          <w:szCs w:val="22"/>
        </w:rPr>
        <w:t xml:space="preserve"> Allegion’s global facilities</w:t>
      </w:r>
      <w:r w:rsidR="00D7215C">
        <w:rPr>
          <w:rFonts w:cs="Arial"/>
          <w:sz w:val="22"/>
          <w:szCs w:val="22"/>
        </w:rPr>
        <w:t>.</w:t>
      </w:r>
    </w:p>
    <w:p w:rsidR="00030023" w:rsidRPr="00B94678" w:rsidRDefault="00030023" w:rsidP="00030023">
      <w:pPr>
        <w:rPr>
          <w:rFonts w:cs="Arial"/>
          <w:sz w:val="22"/>
          <w:szCs w:val="22"/>
        </w:rPr>
      </w:pPr>
    </w:p>
    <w:p w:rsidR="00030023" w:rsidRPr="00B94678" w:rsidRDefault="00030023" w:rsidP="00030023">
      <w:pPr>
        <w:rPr>
          <w:rFonts w:cs="Arial"/>
          <w:sz w:val="22"/>
          <w:szCs w:val="22"/>
        </w:rPr>
      </w:pPr>
      <w:r w:rsidRPr="00B94678">
        <w:rPr>
          <w:rFonts w:cs="Arial"/>
          <w:sz w:val="22"/>
          <w:szCs w:val="22"/>
        </w:rPr>
        <w:t>Execution of this work instruction requires the cooperation and participation from various cross-functional groups.</w:t>
      </w:r>
      <w:r w:rsidR="006836A0">
        <w:rPr>
          <w:rFonts w:cs="Arial"/>
          <w:sz w:val="22"/>
          <w:szCs w:val="22"/>
        </w:rPr>
        <w:t xml:space="preserve"> </w:t>
      </w:r>
      <w:r w:rsidR="006836A0" w:rsidRPr="006836A0">
        <w:rPr>
          <w:rFonts w:cs="Arial"/>
          <w:sz w:val="22"/>
          <w:szCs w:val="22"/>
        </w:rPr>
        <w:t>Packaging development requires a partnership. It can only function as intended when both supplier and customer work together from proposal through implementation.  And then it is absolutely crucial that both parties adhere to authorized packaging.  The key is open, two-way communication</w:t>
      </w:r>
      <w:r w:rsidR="006836A0">
        <w:rPr>
          <w:rFonts w:cs="Arial"/>
          <w:sz w:val="22"/>
          <w:szCs w:val="22"/>
        </w:rPr>
        <w:t>.</w:t>
      </w:r>
    </w:p>
    <w:p w:rsidR="00747DAB" w:rsidRPr="00B94678" w:rsidRDefault="00747DAB" w:rsidP="00617EFD">
      <w:pPr>
        <w:rPr>
          <w:rFonts w:cs="Arial"/>
          <w:sz w:val="22"/>
          <w:szCs w:val="22"/>
        </w:rPr>
      </w:pPr>
    </w:p>
    <w:p w:rsidR="007B3ACB" w:rsidRPr="00B94678" w:rsidRDefault="007B3ACB" w:rsidP="00B32107">
      <w:pPr>
        <w:numPr>
          <w:ilvl w:val="0"/>
          <w:numId w:val="11"/>
        </w:numPr>
        <w:rPr>
          <w:rFonts w:cs="Arial"/>
          <w:sz w:val="22"/>
          <w:szCs w:val="22"/>
        </w:rPr>
      </w:pPr>
      <w:r w:rsidRPr="00B94678">
        <w:rPr>
          <w:rFonts w:cs="Arial"/>
          <w:sz w:val="22"/>
          <w:szCs w:val="22"/>
        </w:rPr>
        <w:t>References:</w:t>
      </w:r>
      <w:r w:rsidR="00A91085" w:rsidRPr="00B94678">
        <w:rPr>
          <w:rFonts w:cs="Arial"/>
          <w:sz w:val="22"/>
          <w:szCs w:val="22"/>
        </w:rPr>
        <w:t xml:space="preserve">   </w:t>
      </w:r>
    </w:p>
    <w:p w:rsidR="0085287C" w:rsidRPr="00B94678" w:rsidRDefault="0085287C" w:rsidP="00617EFD">
      <w:pPr>
        <w:rPr>
          <w:rFonts w:cs="Arial"/>
          <w:sz w:val="22"/>
          <w:szCs w:val="22"/>
        </w:rPr>
      </w:pPr>
    </w:p>
    <w:p w:rsidR="00B94678" w:rsidRDefault="0012426A" w:rsidP="0012426A">
      <w:pPr>
        <w:numPr>
          <w:ilvl w:val="0"/>
          <w:numId w:val="2"/>
        </w:numPr>
        <w:rPr>
          <w:rFonts w:cs="Arial"/>
          <w:sz w:val="22"/>
          <w:szCs w:val="22"/>
        </w:rPr>
      </w:pPr>
      <w:r w:rsidRPr="0012426A">
        <w:rPr>
          <w:rFonts w:cs="Arial"/>
          <w:sz w:val="22"/>
          <w:szCs w:val="22"/>
        </w:rPr>
        <w:t>Import and Export Requirements for Wood Packaging Material (WPM) into the U.S.</w:t>
      </w:r>
      <w:r>
        <w:rPr>
          <w:rFonts w:cs="Arial"/>
          <w:sz w:val="22"/>
          <w:szCs w:val="22"/>
        </w:rPr>
        <w:t xml:space="preserve"> - </w:t>
      </w:r>
      <w:hyperlink r:id="rId13" w:history="1">
        <w:r w:rsidRPr="00F579FA">
          <w:rPr>
            <w:rStyle w:val="Hyperlink"/>
            <w:rFonts w:cs="Arial"/>
            <w:sz w:val="22"/>
            <w:szCs w:val="22"/>
          </w:rPr>
          <w:t>https://help.cbp.gov/app/answers/detail/a_id/720/~/import-and-export-requirements-for-wood-packaging-material-(wpm)-into-the-u.s</w:t>
        </w:r>
      </w:hyperlink>
      <w:r>
        <w:rPr>
          <w:rFonts w:cs="Arial"/>
          <w:sz w:val="22"/>
          <w:szCs w:val="22"/>
        </w:rPr>
        <w:t xml:space="preserve">. </w:t>
      </w:r>
    </w:p>
    <w:p w:rsidR="0012426A" w:rsidRDefault="0012426A" w:rsidP="0012426A">
      <w:pPr>
        <w:numPr>
          <w:ilvl w:val="0"/>
          <w:numId w:val="2"/>
        </w:numPr>
        <w:rPr>
          <w:rFonts w:cs="Arial"/>
          <w:sz w:val="22"/>
          <w:szCs w:val="22"/>
        </w:rPr>
      </w:pPr>
      <w:r>
        <w:rPr>
          <w:rFonts w:cs="Arial"/>
          <w:sz w:val="22"/>
          <w:szCs w:val="22"/>
        </w:rPr>
        <w:t xml:space="preserve">U.S. Electronic Code of Federal Regulations (7 CFR 319.40) - </w:t>
      </w:r>
      <w:hyperlink r:id="rId14" w:history="1">
        <w:r w:rsidRPr="00F579FA">
          <w:rPr>
            <w:rStyle w:val="Hyperlink"/>
            <w:rFonts w:cs="Arial"/>
            <w:sz w:val="22"/>
            <w:szCs w:val="22"/>
          </w:rPr>
          <w:t>http://www.ecfr.gov/cgi-bin/text-idx?SID=2c6f8333fbb7e26822b41636dc14b6b8&amp;mc=true&amp;node=sp7.5.319.xx10&amp;rgn=div6</w:t>
        </w:r>
      </w:hyperlink>
      <w:r>
        <w:rPr>
          <w:rFonts w:cs="Arial"/>
          <w:sz w:val="22"/>
          <w:szCs w:val="22"/>
        </w:rPr>
        <w:t xml:space="preserve"> </w:t>
      </w:r>
    </w:p>
    <w:p w:rsidR="0012426A" w:rsidRDefault="0012426A" w:rsidP="0012426A">
      <w:pPr>
        <w:numPr>
          <w:ilvl w:val="0"/>
          <w:numId w:val="2"/>
        </w:numPr>
        <w:rPr>
          <w:rFonts w:cs="Arial"/>
          <w:sz w:val="22"/>
          <w:szCs w:val="22"/>
        </w:rPr>
      </w:pPr>
      <w:r>
        <w:rPr>
          <w:rFonts w:cs="Arial"/>
          <w:sz w:val="22"/>
          <w:szCs w:val="22"/>
        </w:rPr>
        <w:t xml:space="preserve">ISPM15 </w:t>
      </w:r>
      <w:hyperlink r:id="rId15" w:history="1">
        <w:r w:rsidRPr="00F579FA">
          <w:rPr>
            <w:rStyle w:val="Hyperlink"/>
            <w:rFonts w:cs="Arial"/>
            <w:sz w:val="22"/>
            <w:szCs w:val="22"/>
          </w:rPr>
          <w:t>http://www.ispm15.com/ISPM15_Revised_2009.pdf</w:t>
        </w:r>
      </w:hyperlink>
      <w:r>
        <w:rPr>
          <w:rFonts w:cs="Arial"/>
          <w:sz w:val="22"/>
          <w:szCs w:val="22"/>
        </w:rPr>
        <w:t xml:space="preserve"> </w:t>
      </w:r>
    </w:p>
    <w:p w:rsidR="009F7964" w:rsidRPr="00CE4FE5" w:rsidRDefault="009F7964" w:rsidP="009F7964">
      <w:pPr>
        <w:numPr>
          <w:ilvl w:val="0"/>
          <w:numId w:val="2"/>
        </w:numPr>
        <w:rPr>
          <w:rFonts w:cs="Arial"/>
          <w:sz w:val="22"/>
          <w:szCs w:val="22"/>
        </w:rPr>
      </w:pPr>
      <w:r w:rsidRPr="00CF2A23">
        <w:rPr>
          <w:rFonts w:cs="Arial"/>
          <w:sz w:val="22"/>
          <w:szCs w:val="22"/>
        </w:rPr>
        <w:t>American National Standards Institute (ANSI) standard MH10.8M-1983</w:t>
      </w:r>
      <w:r>
        <w:rPr>
          <w:rFonts w:cs="Arial"/>
          <w:sz w:val="22"/>
          <w:szCs w:val="22"/>
        </w:rPr>
        <w:t xml:space="preserve"> - </w:t>
      </w:r>
      <w:hyperlink r:id="rId16" w:history="1">
        <w:r w:rsidRPr="00F579FA">
          <w:rPr>
            <w:rStyle w:val="Hyperlink"/>
            <w:rFonts w:cs="Arial"/>
            <w:sz w:val="22"/>
            <w:szCs w:val="22"/>
          </w:rPr>
          <w:t>http://www.ansi.org/</w:t>
        </w:r>
      </w:hyperlink>
      <w:r>
        <w:rPr>
          <w:rFonts w:cs="Arial"/>
          <w:sz w:val="22"/>
          <w:szCs w:val="22"/>
        </w:rPr>
        <w:t xml:space="preserve"> </w:t>
      </w:r>
    </w:p>
    <w:p w:rsidR="0073720E" w:rsidRPr="00B94678" w:rsidRDefault="0073720E" w:rsidP="0073720E">
      <w:pPr>
        <w:jc w:val="both"/>
        <w:rPr>
          <w:rFonts w:cs="Arial"/>
          <w:sz w:val="22"/>
          <w:szCs w:val="22"/>
        </w:rPr>
      </w:pPr>
    </w:p>
    <w:p w:rsidR="00747DAB" w:rsidRPr="00B94678" w:rsidRDefault="00747DAB" w:rsidP="00B32107">
      <w:pPr>
        <w:numPr>
          <w:ilvl w:val="0"/>
          <w:numId w:val="11"/>
        </w:numPr>
        <w:rPr>
          <w:rFonts w:cs="Arial"/>
          <w:sz w:val="22"/>
          <w:szCs w:val="22"/>
        </w:rPr>
      </w:pPr>
      <w:r w:rsidRPr="00B94678">
        <w:rPr>
          <w:rFonts w:cs="Arial"/>
          <w:sz w:val="22"/>
          <w:szCs w:val="22"/>
        </w:rPr>
        <w:t>Definitions:</w:t>
      </w:r>
    </w:p>
    <w:p w:rsidR="00257912" w:rsidRPr="00B94678" w:rsidRDefault="00257912" w:rsidP="00074CD2">
      <w:pPr>
        <w:ind w:left="1440"/>
        <w:rPr>
          <w:rFonts w:cs="Arial"/>
          <w:sz w:val="22"/>
          <w:szCs w:val="22"/>
        </w:rPr>
      </w:pPr>
    </w:p>
    <w:p w:rsidR="0012426A" w:rsidRDefault="00D20124" w:rsidP="0012426A">
      <w:pPr>
        <w:numPr>
          <w:ilvl w:val="0"/>
          <w:numId w:val="2"/>
        </w:numPr>
        <w:ind w:left="360"/>
        <w:jc w:val="both"/>
        <w:rPr>
          <w:rFonts w:cs="Arial"/>
          <w:sz w:val="22"/>
          <w:szCs w:val="22"/>
        </w:rPr>
      </w:pPr>
      <w:r w:rsidRPr="00D20124">
        <w:rPr>
          <w:rFonts w:cs="Arial"/>
          <w:sz w:val="22"/>
          <w:szCs w:val="22"/>
        </w:rPr>
        <w:t>ISPM15 – International standards</w:t>
      </w:r>
      <w:r>
        <w:rPr>
          <w:rFonts w:cs="Arial"/>
          <w:sz w:val="22"/>
          <w:szCs w:val="22"/>
        </w:rPr>
        <w:t xml:space="preserve"> for </w:t>
      </w:r>
      <w:proofErr w:type="spellStart"/>
      <w:r>
        <w:rPr>
          <w:rFonts w:cs="Arial"/>
          <w:sz w:val="22"/>
          <w:szCs w:val="22"/>
        </w:rPr>
        <w:t>Phytosanitary</w:t>
      </w:r>
      <w:proofErr w:type="spellEnd"/>
      <w:r>
        <w:rPr>
          <w:rFonts w:cs="Arial"/>
          <w:sz w:val="22"/>
          <w:szCs w:val="22"/>
        </w:rPr>
        <w:t xml:space="preserve"> Measures</w:t>
      </w:r>
      <w:r w:rsidR="0012426A">
        <w:rPr>
          <w:rFonts w:cs="Arial"/>
          <w:sz w:val="22"/>
          <w:szCs w:val="22"/>
        </w:rPr>
        <w:t xml:space="preserve"> no 15; Regulation of Wood Packaging Material in International Trade.</w:t>
      </w:r>
    </w:p>
    <w:p w:rsidR="0012426A" w:rsidRDefault="0012426A" w:rsidP="0012426A">
      <w:pPr>
        <w:numPr>
          <w:ilvl w:val="0"/>
          <w:numId w:val="2"/>
        </w:numPr>
        <w:ind w:left="360"/>
        <w:jc w:val="both"/>
        <w:rPr>
          <w:rFonts w:cs="Arial"/>
          <w:sz w:val="22"/>
          <w:szCs w:val="22"/>
        </w:rPr>
      </w:pPr>
      <w:r w:rsidRPr="0012426A">
        <w:rPr>
          <w:rFonts w:cs="Arial"/>
          <w:sz w:val="22"/>
          <w:szCs w:val="22"/>
        </w:rPr>
        <w:t>Grade A Pallet -</w:t>
      </w:r>
      <w:r>
        <w:rPr>
          <w:rFonts w:cs="Arial"/>
          <w:sz w:val="22"/>
          <w:szCs w:val="22"/>
        </w:rPr>
        <w:t xml:space="preserve"> </w:t>
      </w:r>
      <w:r w:rsidRPr="0012426A">
        <w:rPr>
          <w:rFonts w:cs="Arial"/>
          <w:sz w:val="22"/>
          <w:szCs w:val="22"/>
        </w:rPr>
        <w:t>A grade pallet</w:t>
      </w:r>
      <w:r>
        <w:rPr>
          <w:rFonts w:cs="Arial"/>
          <w:sz w:val="22"/>
          <w:szCs w:val="22"/>
        </w:rPr>
        <w:t>s</w:t>
      </w:r>
      <w:r w:rsidRPr="0012426A">
        <w:rPr>
          <w:rFonts w:cs="Arial"/>
          <w:sz w:val="22"/>
          <w:szCs w:val="22"/>
        </w:rPr>
        <w:t xml:space="preserve"> </w:t>
      </w:r>
      <w:r>
        <w:rPr>
          <w:rFonts w:cs="Arial"/>
          <w:sz w:val="22"/>
          <w:szCs w:val="22"/>
        </w:rPr>
        <w:t>have</w:t>
      </w:r>
      <w:r w:rsidRPr="0012426A">
        <w:rPr>
          <w:rFonts w:cs="Arial"/>
          <w:sz w:val="22"/>
          <w:szCs w:val="22"/>
        </w:rPr>
        <w:t xml:space="preserve"> a like new fresh appearance with no stringer repairs. Broken stringers may have been replaced or repaired. All damaged deck boards are replaced. This is a fairly clean pal</w:t>
      </w:r>
      <w:r>
        <w:rPr>
          <w:rFonts w:cs="Arial"/>
          <w:sz w:val="22"/>
          <w:szCs w:val="22"/>
        </w:rPr>
        <w:t xml:space="preserve">let that is structurally sound.  </w:t>
      </w:r>
      <w:proofErr w:type="gramStart"/>
      <w:r w:rsidRPr="0012426A">
        <w:rPr>
          <w:rFonts w:cs="Arial"/>
          <w:sz w:val="22"/>
          <w:szCs w:val="22"/>
        </w:rPr>
        <w:t>A grade pallets</w:t>
      </w:r>
      <w:proofErr w:type="gramEnd"/>
      <w:r w:rsidRPr="0012426A">
        <w:rPr>
          <w:rFonts w:cs="Arial"/>
          <w:sz w:val="22"/>
          <w:szCs w:val="22"/>
        </w:rPr>
        <w:t xml:space="preserve"> have 7 top deck boards &amp; 5 bottom deck boards.</w:t>
      </w:r>
    </w:p>
    <w:p w:rsidR="00CF2A23" w:rsidRDefault="00CF2A23" w:rsidP="0012426A">
      <w:pPr>
        <w:numPr>
          <w:ilvl w:val="0"/>
          <w:numId w:val="2"/>
        </w:numPr>
        <w:ind w:left="360"/>
        <w:jc w:val="both"/>
        <w:rPr>
          <w:rFonts w:cs="Arial"/>
          <w:sz w:val="22"/>
          <w:szCs w:val="22"/>
        </w:rPr>
      </w:pPr>
      <w:r>
        <w:rPr>
          <w:rFonts w:cs="Arial"/>
          <w:sz w:val="22"/>
          <w:szCs w:val="22"/>
        </w:rPr>
        <w:t xml:space="preserve">IPPC - </w:t>
      </w:r>
      <w:r w:rsidRPr="00CF2A23">
        <w:rPr>
          <w:rFonts w:cs="Arial"/>
          <w:sz w:val="22"/>
          <w:szCs w:val="22"/>
        </w:rPr>
        <w:t xml:space="preserve">International Plant Protection Convention </w:t>
      </w:r>
    </w:p>
    <w:p w:rsidR="00CF2A23" w:rsidRDefault="00CF2A23" w:rsidP="0012426A">
      <w:pPr>
        <w:numPr>
          <w:ilvl w:val="0"/>
          <w:numId w:val="2"/>
        </w:numPr>
        <w:ind w:left="360"/>
        <w:jc w:val="both"/>
        <w:rPr>
          <w:rFonts w:cs="Arial"/>
          <w:sz w:val="22"/>
          <w:szCs w:val="22"/>
        </w:rPr>
      </w:pPr>
      <w:r>
        <w:rPr>
          <w:rFonts w:cs="Arial"/>
          <w:sz w:val="22"/>
          <w:szCs w:val="22"/>
        </w:rPr>
        <w:t>SWPM – Solid Wood Packaging Material</w:t>
      </w:r>
    </w:p>
    <w:p w:rsidR="00CF2A23" w:rsidRDefault="00CF2A23" w:rsidP="0012426A">
      <w:pPr>
        <w:numPr>
          <w:ilvl w:val="0"/>
          <w:numId w:val="2"/>
        </w:numPr>
        <w:ind w:left="360"/>
        <w:jc w:val="both"/>
        <w:rPr>
          <w:rFonts w:cs="Arial"/>
          <w:sz w:val="22"/>
          <w:szCs w:val="22"/>
        </w:rPr>
      </w:pPr>
      <w:r>
        <w:rPr>
          <w:rFonts w:cs="Arial"/>
          <w:sz w:val="22"/>
          <w:szCs w:val="22"/>
        </w:rPr>
        <w:t xml:space="preserve">3 of 9 barcode (Code 39) - </w:t>
      </w:r>
      <w:r w:rsidRPr="00CF2A23">
        <w:rPr>
          <w:rFonts w:cs="Arial"/>
          <w:sz w:val="22"/>
          <w:szCs w:val="22"/>
        </w:rPr>
        <w:t xml:space="preserve">Code 39 </w:t>
      </w:r>
      <w:proofErr w:type="gramStart"/>
      <w:r w:rsidRPr="00CF2A23">
        <w:rPr>
          <w:rFonts w:cs="Arial"/>
          <w:sz w:val="22"/>
          <w:szCs w:val="22"/>
        </w:rPr>
        <w:t>is</w:t>
      </w:r>
      <w:proofErr w:type="gramEnd"/>
      <w:r w:rsidRPr="00CF2A23">
        <w:rPr>
          <w:rFonts w:cs="Arial"/>
          <w:sz w:val="22"/>
          <w:szCs w:val="22"/>
        </w:rPr>
        <w:t xml:space="preserve"> defined in American National Standards Institute (ANSI) standard MH10.8M-1983, and is also known as USD-3 and 3 of 9.</w:t>
      </w:r>
    </w:p>
    <w:p w:rsidR="002F48E8" w:rsidRPr="00215AE9" w:rsidRDefault="00215AE9" w:rsidP="002F4F81">
      <w:pPr>
        <w:numPr>
          <w:ilvl w:val="0"/>
          <w:numId w:val="2"/>
        </w:numPr>
        <w:ind w:left="360"/>
        <w:jc w:val="both"/>
        <w:rPr>
          <w:rFonts w:cs="Arial"/>
          <w:sz w:val="22"/>
          <w:szCs w:val="22"/>
        </w:rPr>
      </w:pPr>
      <w:r w:rsidRPr="00215AE9">
        <w:rPr>
          <w:rFonts w:cs="Arial"/>
          <w:sz w:val="22"/>
          <w:szCs w:val="22"/>
        </w:rPr>
        <w:t>GCMI – a standard for color used in package printing developed by the Glass Packaging Institute (formerly known as the Glass Container Manufacturers Institute).</w:t>
      </w:r>
    </w:p>
    <w:p w:rsidR="00FC05D0" w:rsidRPr="00B94678" w:rsidRDefault="00FC05D0" w:rsidP="002F48E8">
      <w:pPr>
        <w:autoSpaceDE w:val="0"/>
        <w:autoSpaceDN w:val="0"/>
        <w:adjustRightInd w:val="0"/>
        <w:ind w:left="360" w:right="18"/>
        <w:rPr>
          <w:rFonts w:cs="Arial"/>
          <w:sz w:val="22"/>
          <w:szCs w:val="22"/>
        </w:rPr>
      </w:pPr>
    </w:p>
    <w:p w:rsidR="006836A0" w:rsidRPr="006836A0" w:rsidRDefault="006836A0" w:rsidP="006836A0">
      <w:pPr>
        <w:numPr>
          <w:ilvl w:val="0"/>
          <w:numId w:val="11"/>
        </w:numPr>
        <w:rPr>
          <w:rFonts w:cs="Arial"/>
          <w:sz w:val="22"/>
          <w:szCs w:val="22"/>
        </w:rPr>
      </w:pPr>
      <w:r w:rsidRPr="006836A0">
        <w:rPr>
          <w:rFonts w:cs="Arial"/>
          <w:sz w:val="22"/>
        </w:rPr>
        <w:t>Supplier Responsibility</w:t>
      </w:r>
      <w:r>
        <w:rPr>
          <w:rFonts w:cs="Arial"/>
          <w:sz w:val="22"/>
        </w:rPr>
        <w:t>:</w:t>
      </w:r>
    </w:p>
    <w:p w:rsidR="006836A0" w:rsidRDefault="006836A0" w:rsidP="006836A0">
      <w:pPr>
        <w:pStyle w:val="NoSpacing"/>
        <w:numPr>
          <w:ilvl w:val="1"/>
          <w:numId w:val="27"/>
        </w:numPr>
        <w:rPr>
          <w:rFonts w:ascii="Arial" w:eastAsia="Times New Roman" w:hAnsi="Arial" w:cs="Arial"/>
        </w:rPr>
      </w:pPr>
      <w:r w:rsidRPr="006836A0">
        <w:rPr>
          <w:rFonts w:ascii="Arial" w:eastAsia="Times New Roman" w:hAnsi="Arial" w:cs="Arial"/>
        </w:rPr>
        <w:lastRenderedPageBreak/>
        <w:t xml:space="preserve">Standard Packaging: It is the suppliers responsibility that all products utilize a standard quantity for each part number supplied in a single container, package and/or pallet. </w:t>
      </w:r>
    </w:p>
    <w:p w:rsidR="006836A0" w:rsidRDefault="006836A0" w:rsidP="006836A0">
      <w:pPr>
        <w:pStyle w:val="NoSpacing"/>
        <w:numPr>
          <w:ilvl w:val="1"/>
          <w:numId w:val="27"/>
        </w:numPr>
        <w:rPr>
          <w:rFonts w:ascii="Arial" w:eastAsia="Times New Roman" w:hAnsi="Arial" w:cs="Arial"/>
        </w:rPr>
      </w:pPr>
      <w:r w:rsidRPr="006836A0">
        <w:rPr>
          <w:rFonts w:ascii="Arial" w:eastAsia="Times New Roman" w:hAnsi="Arial" w:cs="Arial"/>
        </w:rPr>
        <w:t xml:space="preserve">Damage free parts: It is the responsibility of the supplier to define the packaging to insure that parts arrive at Allegion without damage, corrosion, rust or dirt.  </w:t>
      </w:r>
    </w:p>
    <w:p w:rsidR="006836A0" w:rsidRDefault="006836A0" w:rsidP="006836A0">
      <w:pPr>
        <w:pStyle w:val="NoSpacing"/>
        <w:numPr>
          <w:ilvl w:val="1"/>
          <w:numId w:val="27"/>
        </w:numPr>
        <w:rPr>
          <w:rFonts w:ascii="Arial" w:eastAsia="Times New Roman" w:hAnsi="Arial" w:cs="Arial"/>
        </w:rPr>
      </w:pPr>
      <w:r w:rsidRPr="006836A0">
        <w:rPr>
          <w:rFonts w:ascii="Arial" w:eastAsia="Times New Roman" w:hAnsi="Arial" w:cs="Arial"/>
        </w:rPr>
        <w:t xml:space="preserve">Deviations from Standards: Deviations from this specification or modifications to packaging must have proper approval.   </w:t>
      </w:r>
    </w:p>
    <w:p w:rsidR="006836A0" w:rsidRPr="006836A0" w:rsidRDefault="006836A0" w:rsidP="006836A0">
      <w:pPr>
        <w:pStyle w:val="NoSpacing"/>
        <w:numPr>
          <w:ilvl w:val="1"/>
          <w:numId w:val="27"/>
        </w:numPr>
        <w:rPr>
          <w:rFonts w:ascii="Arial" w:eastAsia="Times New Roman" w:hAnsi="Arial" w:cs="Arial"/>
        </w:rPr>
      </w:pPr>
      <w:r w:rsidRPr="006836A0">
        <w:rPr>
          <w:rFonts w:ascii="Arial" w:eastAsia="Times New Roman" w:hAnsi="Arial" w:cs="Arial"/>
        </w:rPr>
        <w:t>Sample Shipments: A sample shipment may be required to test and prove that the packaging is able t</w:t>
      </w:r>
      <w:r w:rsidR="0012426A">
        <w:rPr>
          <w:rFonts w:ascii="Arial" w:eastAsia="Times New Roman" w:hAnsi="Arial" w:cs="Arial"/>
        </w:rPr>
        <w:t xml:space="preserve">o withstand delivery conditions during the FA process.  </w:t>
      </w:r>
    </w:p>
    <w:p w:rsidR="006836A0" w:rsidRPr="006836A0" w:rsidRDefault="006836A0" w:rsidP="006836A0">
      <w:pPr>
        <w:pStyle w:val="NoSpacing"/>
        <w:ind w:left="720"/>
        <w:rPr>
          <w:rFonts w:ascii="Arial" w:eastAsia="Times New Roman" w:hAnsi="Arial" w:cs="Arial"/>
        </w:rPr>
      </w:pPr>
    </w:p>
    <w:p w:rsidR="006836A0" w:rsidRDefault="006836A0" w:rsidP="006836A0">
      <w:pPr>
        <w:pStyle w:val="NoSpacing"/>
        <w:numPr>
          <w:ilvl w:val="0"/>
          <w:numId w:val="11"/>
        </w:numPr>
        <w:rPr>
          <w:rFonts w:ascii="Arial" w:eastAsia="Times New Roman" w:hAnsi="Arial" w:cs="Arial"/>
        </w:rPr>
      </w:pPr>
      <w:r w:rsidRPr="006836A0">
        <w:rPr>
          <w:rFonts w:ascii="Arial" w:eastAsia="Times New Roman" w:hAnsi="Arial" w:cs="Arial"/>
        </w:rPr>
        <w:t>Packaging Requirements</w:t>
      </w:r>
      <w:r w:rsidR="00BD6658">
        <w:rPr>
          <w:rFonts w:ascii="Arial" w:eastAsia="Times New Roman" w:hAnsi="Arial" w:cs="Arial"/>
        </w:rPr>
        <w:t>:</w:t>
      </w:r>
    </w:p>
    <w:p w:rsidR="006836A0" w:rsidRPr="00BD6658" w:rsidRDefault="006836A0" w:rsidP="00BD6658">
      <w:pPr>
        <w:pStyle w:val="NoSpacing"/>
        <w:numPr>
          <w:ilvl w:val="1"/>
          <w:numId w:val="11"/>
        </w:numPr>
        <w:rPr>
          <w:rFonts w:ascii="Arial" w:eastAsia="Times New Roman" w:hAnsi="Arial" w:cs="Arial"/>
          <w:b/>
        </w:rPr>
      </w:pPr>
      <w:r w:rsidRPr="00BD6658">
        <w:rPr>
          <w:rFonts w:ascii="Arial" w:eastAsia="Times New Roman" w:hAnsi="Arial" w:cs="Arial"/>
          <w:b/>
        </w:rPr>
        <w:t>Shipping containers:</w:t>
      </w:r>
      <w:r w:rsidRPr="00BD6658">
        <w:rPr>
          <w:rFonts w:ascii="Arial" w:eastAsia="Times New Roman" w:hAnsi="Arial" w:cs="Arial"/>
        </w:rPr>
        <w:t xml:space="preserve"> Products packed in containers designated as shipping containers will be cushioned, blocked, braced, or anchored as necessary to prevent movement and damage during handling and transit.</w:t>
      </w:r>
    </w:p>
    <w:p w:rsidR="006836A0" w:rsidRPr="00BD6658" w:rsidRDefault="006836A0" w:rsidP="006836A0">
      <w:pPr>
        <w:pStyle w:val="NoSpacing"/>
        <w:numPr>
          <w:ilvl w:val="1"/>
          <w:numId w:val="11"/>
        </w:numPr>
        <w:rPr>
          <w:rFonts w:ascii="Arial" w:eastAsia="Times New Roman" w:hAnsi="Arial" w:cs="Arial"/>
          <w:b/>
        </w:rPr>
      </w:pPr>
      <w:r w:rsidRPr="00BD6658">
        <w:rPr>
          <w:rFonts w:ascii="Arial" w:eastAsia="Times New Roman" w:hAnsi="Arial" w:cs="Arial"/>
          <w:b/>
        </w:rPr>
        <w:t>Pallets</w:t>
      </w:r>
      <w:r w:rsidR="00BD6658" w:rsidRPr="00BD6658">
        <w:rPr>
          <w:rFonts w:ascii="Arial" w:eastAsia="Times New Roman" w:hAnsi="Arial" w:cs="Arial"/>
          <w:b/>
        </w:rPr>
        <w:t>:</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All pallets used should be designed with flush, partial 4-way and non-reversible.  Pallet assembly, fastener quality and fastening sc</w:t>
      </w:r>
      <w:r w:rsidR="0012426A">
        <w:rPr>
          <w:rFonts w:ascii="Arial" w:eastAsia="Times New Roman" w:hAnsi="Arial" w:cs="Arial"/>
        </w:rPr>
        <w:t>hedule must comply with the uniform s</w:t>
      </w:r>
      <w:r w:rsidRPr="006836A0">
        <w:rPr>
          <w:rFonts w:ascii="Arial" w:eastAsia="Times New Roman" w:hAnsi="Arial" w:cs="Arial"/>
        </w:rPr>
        <w:t xml:space="preserve">tandard.  All criteria are consistent with Grade A pallets.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To minimize damage to pallet loads, pallets should not be loaded with overhang beyond the pallet dimensions.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Pallets with broken or sagging stringers should not be used.</w:t>
      </w:r>
    </w:p>
    <w:p w:rsidR="006836A0" w:rsidRPr="006836A0" w:rsidRDefault="00BD6658" w:rsidP="006836A0">
      <w:pPr>
        <w:pStyle w:val="NoSpacing"/>
        <w:numPr>
          <w:ilvl w:val="2"/>
          <w:numId w:val="11"/>
        </w:numPr>
        <w:rPr>
          <w:rFonts w:ascii="Arial" w:eastAsia="Times New Roman" w:hAnsi="Arial" w:cs="Arial"/>
        </w:rPr>
      </w:pPr>
      <w:r>
        <w:rPr>
          <w:rFonts w:ascii="Arial" w:eastAsia="Times New Roman" w:hAnsi="Arial" w:cs="Arial"/>
        </w:rPr>
        <w:t>Wood p</w:t>
      </w:r>
      <w:r w:rsidR="006836A0" w:rsidRPr="006836A0">
        <w:rPr>
          <w:rFonts w:ascii="Arial" w:eastAsia="Times New Roman" w:hAnsi="Arial" w:cs="Arial"/>
        </w:rPr>
        <w:t xml:space="preserve">allets </w:t>
      </w:r>
      <w:r>
        <w:rPr>
          <w:rFonts w:ascii="Arial" w:eastAsia="Times New Roman" w:hAnsi="Arial" w:cs="Arial"/>
        </w:rPr>
        <w:t>should</w:t>
      </w:r>
      <w:r w:rsidR="006836A0" w:rsidRPr="006836A0">
        <w:rPr>
          <w:rFonts w:ascii="Arial" w:eastAsia="Times New Roman" w:hAnsi="Arial" w:cs="Arial"/>
        </w:rPr>
        <w:t xml:space="preserve"> be of solid wood construction.  The wood must be sound (no decay) and spare edged. </w:t>
      </w:r>
      <w:r w:rsidR="008071D7">
        <w:rPr>
          <w:rFonts w:ascii="Arial" w:eastAsia="Times New Roman" w:hAnsi="Arial" w:cs="Arial"/>
        </w:rPr>
        <w:t xml:space="preserve">Wood in classes 7 and 14 in the Uniform Standard for Wood Pallets, as published by the National Wooden Pallet and Container Association are not acceptable.  </w:t>
      </w:r>
    </w:p>
    <w:p w:rsidR="006836A0" w:rsidRDefault="006836A0" w:rsidP="00BD6658">
      <w:pPr>
        <w:pStyle w:val="NoSpacing"/>
        <w:numPr>
          <w:ilvl w:val="3"/>
          <w:numId w:val="11"/>
        </w:numPr>
        <w:rPr>
          <w:rFonts w:ascii="Arial" w:eastAsia="Times New Roman" w:hAnsi="Arial" w:cs="Arial"/>
        </w:rPr>
      </w:pPr>
      <w:r w:rsidRPr="006836A0">
        <w:rPr>
          <w:rFonts w:ascii="Arial" w:eastAsia="Times New Roman" w:hAnsi="Arial" w:cs="Arial"/>
        </w:rPr>
        <w:t xml:space="preserve">Knots must not be larger than 1/3 of the board. </w:t>
      </w:r>
    </w:p>
    <w:p w:rsidR="00BD6658" w:rsidRPr="006836A0" w:rsidRDefault="006D5973" w:rsidP="00BD6658">
      <w:pPr>
        <w:pStyle w:val="NoSpacing"/>
        <w:numPr>
          <w:ilvl w:val="2"/>
          <w:numId w:val="11"/>
        </w:numPr>
        <w:rPr>
          <w:rFonts w:ascii="Arial" w:eastAsia="Times New Roman" w:hAnsi="Arial" w:cs="Arial"/>
        </w:rPr>
      </w:pPr>
      <w:r>
        <w:rPr>
          <w:rFonts w:ascii="Arial" w:eastAsia="Times New Roman" w:hAnsi="Arial" w:cs="Arial"/>
        </w:rPr>
        <w:t xml:space="preserve">Plastic pallets are a </w:t>
      </w:r>
      <w:r w:rsidRPr="006D5973">
        <w:rPr>
          <w:rFonts w:ascii="Arial" w:eastAsia="Times New Roman" w:hAnsi="Arial" w:cs="Arial"/>
        </w:rPr>
        <w:t>viable alternative to w</w:t>
      </w:r>
      <w:r>
        <w:rPr>
          <w:rFonts w:ascii="Arial" w:eastAsia="Times New Roman" w:hAnsi="Arial" w:cs="Arial"/>
        </w:rPr>
        <w:t>ood pallets. The</w:t>
      </w:r>
      <w:r w:rsidRPr="006D5973">
        <w:rPr>
          <w:rFonts w:ascii="Arial" w:eastAsia="Times New Roman" w:hAnsi="Arial" w:cs="Arial"/>
        </w:rPr>
        <w:t xml:space="preserve"> plastic surface is often slippery, which makes fastening or blocking products to prevent movement more difficult.</w:t>
      </w:r>
      <w:r>
        <w:rPr>
          <w:rFonts w:ascii="Arial" w:eastAsia="Times New Roman" w:hAnsi="Arial" w:cs="Arial"/>
        </w:rPr>
        <w:t xml:space="preserve">  Products must be securely attached to plastic pallets</w:t>
      </w:r>
    </w:p>
    <w:p w:rsid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No serious cracks, protruding splinters, protruding nail heads or points are allowed. </w:t>
      </w:r>
    </w:p>
    <w:p w:rsidR="008071D7" w:rsidRDefault="008071D7" w:rsidP="006836A0">
      <w:pPr>
        <w:pStyle w:val="NoSpacing"/>
        <w:numPr>
          <w:ilvl w:val="2"/>
          <w:numId w:val="11"/>
        </w:numPr>
        <w:rPr>
          <w:rFonts w:ascii="Arial" w:eastAsia="Times New Roman" w:hAnsi="Arial" w:cs="Arial"/>
        </w:rPr>
      </w:pPr>
      <w:r>
        <w:rPr>
          <w:rFonts w:ascii="Arial" w:eastAsia="Times New Roman" w:hAnsi="Arial" w:cs="Arial"/>
        </w:rPr>
        <w:t xml:space="preserve">Plywood, manufactured wood, paper or corrugated pallets are prohibited.  </w:t>
      </w:r>
    </w:p>
    <w:p w:rsidR="005341F7" w:rsidRPr="006836A0" w:rsidRDefault="005341F7" w:rsidP="006836A0">
      <w:pPr>
        <w:pStyle w:val="NoSpacing"/>
        <w:numPr>
          <w:ilvl w:val="2"/>
          <w:numId w:val="11"/>
        </w:numPr>
        <w:rPr>
          <w:rFonts w:ascii="Arial" w:eastAsia="Times New Roman" w:hAnsi="Arial" w:cs="Arial"/>
        </w:rPr>
      </w:pPr>
      <w:r>
        <w:rPr>
          <w:rFonts w:ascii="Arial" w:eastAsia="Times New Roman" w:hAnsi="Arial" w:cs="Arial"/>
        </w:rPr>
        <w:t xml:space="preserve">The use of corner and edge boards is required for unitized loads.  These corner and edge boards will be non-laminated and can be made of recycled fiberboard.  </w:t>
      </w:r>
    </w:p>
    <w:p w:rsidR="006836A0" w:rsidRPr="00BD6658" w:rsidRDefault="006836A0" w:rsidP="006836A0">
      <w:pPr>
        <w:pStyle w:val="NoSpacing"/>
        <w:numPr>
          <w:ilvl w:val="1"/>
          <w:numId w:val="11"/>
        </w:numPr>
        <w:rPr>
          <w:rFonts w:ascii="Arial" w:eastAsia="Times New Roman" w:hAnsi="Arial" w:cs="Arial"/>
          <w:b/>
        </w:rPr>
      </w:pPr>
      <w:r w:rsidRPr="00BD6658">
        <w:rPr>
          <w:rFonts w:ascii="Arial" w:eastAsia="Times New Roman" w:hAnsi="Arial" w:cs="Arial"/>
          <w:b/>
        </w:rPr>
        <w:t>Strapping and Shrink-Wrap</w:t>
      </w:r>
      <w:r w:rsidR="00BD6658">
        <w:rPr>
          <w:rFonts w:ascii="Arial" w:eastAsia="Times New Roman" w:hAnsi="Arial" w:cs="Arial"/>
          <w:b/>
        </w:rPr>
        <w:t>:</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Metal Strapping/Banding should not be used.</w:t>
      </w:r>
    </w:p>
    <w:p w:rsid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All products must be secured to pallets by applying non-conductive, non-metallic strapping or suitable shrink-wrap material.  When strapping is used, a minimum of two straps will be required.  The strapping and the manner employed will be of sufficient quantity, quality, width and thickness to preclude failure during transit and handling.  </w:t>
      </w:r>
    </w:p>
    <w:p w:rsidR="00625CD6" w:rsidRPr="006836A0" w:rsidRDefault="00625CD6" w:rsidP="006836A0">
      <w:pPr>
        <w:pStyle w:val="NoSpacing"/>
        <w:numPr>
          <w:ilvl w:val="2"/>
          <w:numId w:val="11"/>
        </w:numPr>
        <w:rPr>
          <w:rFonts w:ascii="Arial" w:eastAsia="Times New Roman" w:hAnsi="Arial" w:cs="Arial"/>
        </w:rPr>
      </w:pPr>
      <w:r>
        <w:rPr>
          <w:rFonts w:ascii="Arial" w:eastAsia="Times New Roman" w:hAnsi="Arial" w:cs="Arial"/>
        </w:rPr>
        <w:t>Four full wraps</w:t>
      </w:r>
      <w:r w:rsidR="000E4DC1">
        <w:rPr>
          <w:rFonts w:ascii="Arial" w:eastAsia="Times New Roman" w:hAnsi="Arial" w:cs="Arial"/>
        </w:rPr>
        <w:t xml:space="preserve"> of shrink wrap</w:t>
      </w:r>
      <w:r>
        <w:rPr>
          <w:rFonts w:ascii="Arial" w:eastAsia="Times New Roman" w:hAnsi="Arial" w:cs="Arial"/>
        </w:rPr>
        <w:t xml:space="preserve"> per pallet overlapping top of product and pallet are required.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lastRenderedPageBreak/>
        <w:t xml:space="preserve">Protection and security of the load and the safety of personnel will the primary considerations.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The non-metallic strapping will be of a material that will resist stretching and continue to hold the load properly at high temperatures.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Clear shrink-wrap or stretch film may be used to secure the load to the pallet.  However, when strapping is required, the film will be applied over the required strapping.  The film will be applied so as to allow a minimum opening of 2ft x 2ft (0.6m x 0.6m) on the top of the load.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 xml:space="preserve">Bands and shrink-wrap should not be used on individual cartons.  </w:t>
      </w:r>
    </w:p>
    <w:p w:rsidR="006836A0" w:rsidRPr="00BD6658" w:rsidRDefault="006836A0" w:rsidP="006836A0">
      <w:pPr>
        <w:pStyle w:val="NoSpacing"/>
        <w:numPr>
          <w:ilvl w:val="1"/>
          <w:numId w:val="11"/>
        </w:numPr>
        <w:rPr>
          <w:rFonts w:ascii="Arial" w:eastAsia="Times New Roman" w:hAnsi="Arial" w:cs="Arial"/>
          <w:b/>
        </w:rPr>
      </w:pPr>
      <w:r w:rsidRPr="00BD6658">
        <w:rPr>
          <w:rFonts w:ascii="Arial" w:eastAsia="Times New Roman" w:hAnsi="Arial" w:cs="Arial"/>
          <w:b/>
        </w:rPr>
        <w:t>Oversized Containers:</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Containers that exceed standard pallet size may be shipped</w:t>
      </w:r>
      <w:r w:rsidR="00BD6658">
        <w:rPr>
          <w:rFonts w:ascii="Arial" w:eastAsia="Times New Roman" w:hAnsi="Arial" w:cs="Arial"/>
        </w:rPr>
        <w:t xml:space="preserve"> on larger pallets as necessary, upon approval.</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Containers of any type that are too large or too heavy to be palletized will be shipped in their own containers, crates, etc.  When practical, these containers will be skidded to facilitate forklift handling.</w:t>
      </w:r>
    </w:p>
    <w:p w:rsidR="006836A0" w:rsidRPr="00BD6658" w:rsidRDefault="006836A0" w:rsidP="006836A0">
      <w:pPr>
        <w:pStyle w:val="NoSpacing"/>
        <w:numPr>
          <w:ilvl w:val="1"/>
          <w:numId w:val="11"/>
        </w:numPr>
        <w:rPr>
          <w:rFonts w:ascii="Arial" w:eastAsia="Times New Roman" w:hAnsi="Arial" w:cs="Arial"/>
          <w:b/>
        </w:rPr>
      </w:pPr>
      <w:r w:rsidRPr="00BD6658">
        <w:rPr>
          <w:rFonts w:ascii="Arial" w:eastAsia="Times New Roman" w:hAnsi="Arial" w:cs="Arial"/>
          <w:b/>
        </w:rPr>
        <w:t>Packing for Pallet Loading</w:t>
      </w:r>
      <w:r w:rsidR="00BD6658">
        <w:rPr>
          <w:rFonts w:ascii="Arial" w:eastAsia="Times New Roman" w:hAnsi="Arial" w:cs="Arial"/>
          <w:b/>
        </w:rPr>
        <w:t>:</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Packages may be stacked on pallets, provided that the bottom container is strong enough, when fully packed (including protective packing for the contents), to support the weight of the loaded containers stacked on top of it without being crushed.</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Acceptable measures to protect breakable products include: fiberboard inserts cut and folded to fit tightly around the contents of the package and prevent movement inside the package, custom-fitted molded and/or cut foam inserts, and others.</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Bubble packing or other space fillers may be used if packed tightly enough to produce the necessary loaded package strength.</w:t>
      </w:r>
    </w:p>
    <w:p w:rsidR="006836A0" w:rsidRPr="006836A0" w:rsidRDefault="002F7470" w:rsidP="006836A0">
      <w:pPr>
        <w:pStyle w:val="NoSpacing"/>
        <w:numPr>
          <w:ilvl w:val="2"/>
          <w:numId w:val="11"/>
        </w:numPr>
        <w:rPr>
          <w:rFonts w:ascii="Arial" w:eastAsia="Times New Roman" w:hAnsi="Arial" w:cs="Arial"/>
        </w:rPr>
      </w:pPr>
      <w:r>
        <w:rPr>
          <w:rFonts w:ascii="Arial" w:eastAsia="Times New Roman" w:hAnsi="Arial" w:cs="Arial"/>
        </w:rPr>
        <w:t>Items</w:t>
      </w:r>
      <w:r w:rsidR="006836A0" w:rsidRPr="006836A0">
        <w:rPr>
          <w:rFonts w:ascii="Arial" w:eastAsia="Times New Roman" w:hAnsi="Arial" w:cs="Arial"/>
        </w:rPr>
        <w:t xml:space="preserve"> that are packed with packaging peanuts or shredded paper</w:t>
      </w:r>
      <w:r>
        <w:rPr>
          <w:rFonts w:ascii="Arial" w:eastAsia="Times New Roman" w:hAnsi="Arial" w:cs="Arial"/>
        </w:rPr>
        <w:t xml:space="preserve"> are not acceptable</w:t>
      </w:r>
      <w:r w:rsidR="006836A0" w:rsidRPr="006836A0">
        <w:rPr>
          <w:rFonts w:ascii="Arial" w:eastAsia="Times New Roman" w:hAnsi="Arial" w:cs="Arial"/>
        </w:rPr>
        <w:t xml:space="preserve">. </w:t>
      </w:r>
    </w:p>
    <w:p w:rsidR="006836A0" w:rsidRPr="006836A0" w:rsidRDefault="006836A0" w:rsidP="006836A0">
      <w:pPr>
        <w:pStyle w:val="NoSpacing"/>
        <w:numPr>
          <w:ilvl w:val="2"/>
          <w:numId w:val="11"/>
        </w:numPr>
        <w:rPr>
          <w:rFonts w:ascii="Arial" w:eastAsia="Times New Roman" w:hAnsi="Arial" w:cs="Arial"/>
        </w:rPr>
      </w:pPr>
      <w:r w:rsidRPr="006836A0">
        <w:rPr>
          <w:rFonts w:ascii="Arial" w:eastAsia="Times New Roman" w:hAnsi="Arial" w:cs="Arial"/>
        </w:rPr>
        <w:t>Reasonably dry, unheated quarters are also non-air conditioned, and high humidity may prevail.  Package materials must be able to retain sufficient strength when stored in such conditions for significant lengths of time.</w:t>
      </w:r>
    </w:p>
    <w:p w:rsidR="00625CD6" w:rsidRDefault="006836A0" w:rsidP="00625CD6">
      <w:pPr>
        <w:pStyle w:val="NoSpacing"/>
        <w:numPr>
          <w:ilvl w:val="2"/>
          <w:numId w:val="11"/>
        </w:numPr>
        <w:rPr>
          <w:rFonts w:ascii="Arial" w:eastAsia="Times New Roman" w:hAnsi="Arial" w:cs="Arial"/>
        </w:rPr>
      </w:pPr>
      <w:r w:rsidRPr="006836A0">
        <w:rPr>
          <w:rFonts w:ascii="Arial" w:eastAsia="Times New Roman" w:hAnsi="Arial" w:cs="Arial"/>
        </w:rPr>
        <w:t xml:space="preserve">Empty containers used as space fillers must be clearly marked </w:t>
      </w:r>
      <w:r w:rsidR="00625CD6">
        <w:rPr>
          <w:rFonts w:ascii="Arial" w:eastAsia="Times New Roman" w:hAnsi="Arial" w:cs="Arial"/>
        </w:rPr>
        <w:t>“EMPTY</w:t>
      </w:r>
      <w:r w:rsidR="0012426A">
        <w:rPr>
          <w:rFonts w:ascii="Arial" w:eastAsia="Times New Roman" w:hAnsi="Arial" w:cs="Arial"/>
        </w:rPr>
        <w:t>”</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 xml:space="preserve">Interlocking stacking provides the most stability and </w:t>
      </w:r>
      <w:r w:rsidR="005341F7">
        <w:rPr>
          <w:rFonts w:ascii="Arial" w:eastAsia="Times New Roman" w:hAnsi="Arial" w:cs="Arial"/>
        </w:rPr>
        <w:t>is</w:t>
      </w:r>
      <w:r>
        <w:rPr>
          <w:rFonts w:ascii="Arial" w:eastAsia="Times New Roman" w:hAnsi="Arial" w:cs="Arial"/>
        </w:rPr>
        <w:t xml:space="preserve"> preferred.   </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When stacking patter</w:t>
      </w:r>
      <w:r w:rsidR="00BD6658">
        <w:rPr>
          <w:rFonts w:ascii="Arial" w:eastAsia="Times New Roman" w:hAnsi="Arial" w:cs="Arial"/>
        </w:rPr>
        <w:t>n</w:t>
      </w:r>
      <w:r>
        <w:rPr>
          <w:rFonts w:ascii="Arial" w:eastAsia="Times New Roman" w:hAnsi="Arial" w:cs="Arial"/>
        </w:rPr>
        <w:t>s are not interlocking, s</w:t>
      </w:r>
      <w:r w:rsidRPr="00625CD6">
        <w:rPr>
          <w:rFonts w:ascii="Arial" w:eastAsia="Times New Roman" w:hAnsi="Arial" w:cs="Arial"/>
        </w:rPr>
        <w:t xml:space="preserve">lip sheets are required between layers. </w:t>
      </w:r>
    </w:p>
    <w:p w:rsidR="00625CD6" w:rsidRDefault="00625CD6" w:rsidP="00625CD6">
      <w:pPr>
        <w:pStyle w:val="NoSpacing"/>
        <w:numPr>
          <w:ilvl w:val="2"/>
          <w:numId w:val="11"/>
        </w:numPr>
        <w:rPr>
          <w:rFonts w:ascii="Arial" w:eastAsia="Times New Roman" w:hAnsi="Arial" w:cs="Arial"/>
        </w:rPr>
      </w:pPr>
      <w:r w:rsidRPr="00625CD6">
        <w:rPr>
          <w:rFonts w:ascii="Arial" w:hAnsi="Arial" w:cs="Arial"/>
        </w:rPr>
        <w:t xml:space="preserve">When stacking product on a pallet that is going to result in empty space. The empty space must be positioned to the </w:t>
      </w:r>
      <w:r w:rsidRPr="00625CD6">
        <w:rPr>
          <w:rFonts w:ascii="Arial" w:eastAsia="Times New Roman" w:hAnsi="Arial" w:cs="Arial"/>
        </w:rPr>
        <w:t>center of pallet</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 xml:space="preserve">Products should not be mixed on a pallet unless the order </w:t>
      </w:r>
      <w:r w:rsidR="005341F7">
        <w:rPr>
          <w:rFonts w:ascii="Arial" w:eastAsia="Times New Roman" w:hAnsi="Arial" w:cs="Arial"/>
        </w:rPr>
        <w:t>quantity</w:t>
      </w:r>
      <w:r>
        <w:rPr>
          <w:rFonts w:ascii="Arial" w:eastAsia="Times New Roman" w:hAnsi="Arial" w:cs="Arial"/>
        </w:rPr>
        <w:t xml:space="preserve"> dictates otherwise.  A single tier per product is acceptable.  </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 xml:space="preserve">Palletized cartons shall be oriented so that the maximum </w:t>
      </w:r>
      <w:r w:rsidR="005341F7">
        <w:rPr>
          <w:rFonts w:ascii="Arial" w:eastAsia="Times New Roman" w:hAnsi="Arial" w:cs="Arial"/>
        </w:rPr>
        <w:t>number of carton labels is</w:t>
      </w:r>
      <w:r>
        <w:rPr>
          <w:rFonts w:ascii="Arial" w:eastAsia="Times New Roman" w:hAnsi="Arial" w:cs="Arial"/>
        </w:rPr>
        <w:t xml:space="preserve"> visible. </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 xml:space="preserve">Unless otherwise specified, packaging shall be of sufficient strength to allow double stacking of palletized loads of similar dimensions and gross weight without causing visible damage during handling and transportation. </w:t>
      </w:r>
    </w:p>
    <w:p w:rsidR="000E4DC1" w:rsidRDefault="000E4DC1" w:rsidP="00625CD6">
      <w:pPr>
        <w:pStyle w:val="NoSpacing"/>
        <w:numPr>
          <w:ilvl w:val="2"/>
          <w:numId w:val="11"/>
        </w:numPr>
        <w:rPr>
          <w:rFonts w:ascii="Arial" w:eastAsia="Times New Roman" w:hAnsi="Arial" w:cs="Arial"/>
        </w:rPr>
      </w:pPr>
      <w:r>
        <w:rPr>
          <w:rFonts w:ascii="Arial" w:eastAsia="Times New Roman" w:hAnsi="Arial" w:cs="Arial"/>
        </w:rPr>
        <w:lastRenderedPageBreak/>
        <w:t xml:space="preserve">Pallets that are unable to </w:t>
      </w:r>
      <w:proofErr w:type="spellStart"/>
      <w:r>
        <w:rPr>
          <w:rFonts w:ascii="Arial" w:eastAsia="Times New Roman" w:hAnsi="Arial" w:cs="Arial"/>
        </w:rPr>
        <w:t>to</w:t>
      </w:r>
      <w:proofErr w:type="spellEnd"/>
      <w:r>
        <w:rPr>
          <w:rFonts w:ascii="Arial" w:eastAsia="Times New Roman" w:hAnsi="Arial" w:cs="Arial"/>
        </w:rPr>
        <w:t xml:space="preserve"> be double stacked require labeling notating “DO NOT STACK” clearly on all four sides of the pallet and the top of the pallet.  </w:t>
      </w:r>
    </w:p>
    <w:p w:rsidR="00625CD6" w:rsidRDefault="00625CD6" w:rsidP="00625CD6">
      <w:pPr>
        <w:pStyle w:val="NoSpacing"/>
        <w:numPr>
          <w:ilvl w:val="2"/>
          <w:numId w:val="11"/>
        </w:numPr>
        <w:rPr>
          <w:rFonts w:ascii="Arial" w:eastAsia="Times New Roman" w:hAnsi="Arial" w:cs="Arial"/>
        </w:rPr>
      </w:pPr>
      <w:r>
        <w:rPr>
          <w:rFonts w:ascii="Arial" w:eastAsia="Times New Roman" w:hAnsi="Arial" w:cs="Arial"/>
        </w:rPr>
        <w:t xml:space="preserve">Pallets shall not be crated.  </w:t>
      </w:r>
    </w:p>
    <w:p w:rsidR="00625CD6" w:rsidRPr="00BD6658" w:rsidRDefault="006836A0" w:rsidP="00625CD6">
      <w:pPr>
        <w:pStyle w:val="NoSpacing"/>
        <w:numPr>
          <w:ilvl w:val="1"/>
          <w:numId w:val="11"/>
        </w:numPr>
        <w:rPr>
          <w:rFonts w:ascii="Arial" w:eastAsia="Times New Roman" w:hAnsi="Arial" w:cs="Arial"/>
          <w:b/>
        </w:rPr>
      </w:pPr>
      <w:r w:rsidRPr="00BD6658">
        <w:rPr>
          <w:rFonts w:ascii="Arial" w:eastAsia="Times New Roman" w:hAnsi="Arial" w:cs="Arial"/>
          <w:b/>
        </w:rPr>
        <w:t xml:space="preserve">Environmentally Friendly Packaging: </w:t>
      </w:r>
    </w:p>
    <w:p w:rsidR="00625CD6" w:rsidRDefault="006836A0" w:rsidP="00625CD6">
      <w:pPr>
        <w:pStyle w:val="NoSpacing"/>
        <w:numPr>
          <w:ilvl w:val="2"/>
          <w:numId w:val="11"/>
        </w:numPr>
        <w:rPr>
          <w:rFonts w:ascii="Arial" w:eastAsia="Times New Roman" w:hAnsi="Arial" w:cs="Arial"/>
        </w:rPr>
      </w:pPr>
      <w:r w:rsidRPr="00625CD6">
        <w:rPr>
          <w:rFonts w:ascii="Arial" w:eastAsia="Times New Roman" w:hAnsi="Arial" w:cs="Arial"/>
        </w:rPr>
        <w:t xml:space="preserve">Packaging must be environmentally friendly.  </w:t>
      </w:r>
    </w:p>
    <w:p w:rsidR="005341F7" w:rsidRDefault="006836A0" w:rsidP="005341F7">
      <w:pPr>
        <w:pStyle w:val="NoSpacing"/>
        <w:numPr>
          <w:ilvl w:val="2"/>
          <w:numId w:val="11"/>
        </w:numPr>
        <w:rPr>
          <w:rFonts w:ascii="Arial" w:eastAsia="Times New Roman" w:hAnsi="Arial" w:cs="Arial"/>
        </w:rPr>
      </w:pPr>
      <w:r w:rsidRPr="00625CD6">
        <w:rPr>
          <w:rFonts w:ascii="Arial" w:eastAsia="Times New Roman" w:hAnsi="Arial" w:cs="Arial"/>
        </w:rPr>
        <w:t>No free standing oil shall be present in the bottom of the container.</w:t>
      </w:r>
    </w:p>
    <w:p w:rsidR="005341F7" w:rsidRDefault="006836A0" w:rsidP="005341F7">
      <w:pPr>
        <w:pStyle w:val="NoSpacing"/>
        <w:numPr>
          <w:ilvl w:val="2"/>
          <w:numId w:val="11"/>
        </w:numPr>
        <w:rPr>
          <w:rFonts w:ascii="Arial" w:eastAsia="Times New Roman" w:hAnsi="Arial" w:cs="Arial"/>
        </w:rPr>
      </w:pPr>
      <w:r w:rsidRPr="005341F7">
        <w:rPr>
          <w:rFonts w:ascii="Arial" w:eastAsia="Times New Roman" w:hAnsi="Arial" w:cs="Arial"/>
        </w:rPr>
        <w:t>No oil soaked cardboard is permissible.  All cardboard must be recyclable.</w:t>
      </w:r>
    </w:p>
    <w:p w:rsidR="005341F7" w:rsidRDefault="006836A0" w:rsidP="005341F7">
      <w:pPr>
        <w:pStyle w:val="NoSpacing"/>
        <w:numPr>
          <w:ilvl w:val="2"/>
          <w:numId w:val="11"/>
        </w:numPr>
        <w:rPr>
          <w:rFonts w:ascii="Arial" w:eastAsia="Times New Roman" w:hAnsi="Arial" w:cs="Arial"/>
        </w:rPr>
      </w:pPr>
      <w:r w:rsidRPr="005341F7">
        <w:rPr>
          <w:rFonts w:ascii="Arial" w:eastAsia="Times New Roman" w:hAnsi="Arial" w:cs="Arial"/>
        </w:rPr>
        <w:t>Recyclable and/or recycled materials (plastics) are to be used.</w:t>
      </w:r>
    </w:p>
    <w:p w:rsidR="005341F7" w:rsidRDefault="006836A0" w:rsidP="005341F7">
      <w:pPr>
        <w:pStyle w:val="NoSpacing"/>
        <w:numPr>
          <w:ilvl w:val="2"/>
          <w:numId w:val="11"/>
        </w:numPr>
        <w:rPr>
          <w:rFonts w:ascii="Arial" w:eastAsia="Times New Roman" w:hAnsi="Arial" w:cs="Arial"/>
        </w:rPr>
      </w:pPr>
      <w:r w:rsidRPr="005341F7">
        <w:rPr>
          <w:rFonts w:ascii="Arial" w:eastAsia="Times New Roman" w:hAnsi="Arial" w:cs="Arial"/>
        </w:rPr>
        <w:t>Plastic liners shall be used to contain excess fluids, odors and to maintain part cleanliness.</w:t>
      </w:r>
    </w:p>
    <w:p w:rsidR="005341F7" w:rsidRPr="00BD6658" w:rsidRDefault="008071D7" w:rsidP="005341F7">
      <w:pPr>
        <w:pStyle w:val="NoSpacing"/>
        <w:numPr>
          <w:ilvl w:val="1"/>
          <w:numId w:val="11"/>
        </w:numPr>
        <w:rPr>
          <w:rFonts w:ascii="Arial" w:eastAsia="Times New Roman" w:hAnsi="Arial" w:cs="Arial"/>
          <w:b/>
        </w:rPr>
      </w:pPr>
      <w:r w:rsidRPr="00BD6658">
        <w:rPr>
          <w:rFonts w:ascii="Arial" w:eastAsia="Times New Roman" w:hAnsi="Arial" w:cs="Arial"/>
          <w:b/>
        </w:rPr>
        <w:t xml:space="preserve">Solid Wood Packaging Mark: </w:t>
      </w:r>
    </w:p>
    <w:p w:rsidR="005341F7" w:rsidRDefault="008071D7" w:rsidP="005341F7">
      <w:pPr>
        <w:pStyle w:val="NoSpacing"/>
        <w:numPr>
          <w:ilvl w:val="2"/>
          <w:numId w:val="11"/>
        </w:numPr>
        <w:rPr>
          <w:rFonts w:ascii="Arial" w:eastAsia="Times New Roman" w:hAnsi="Arial" w:cs="Arial"/>
        </w:rPr>
      </w:pPr>
      <w:r w:rsidRPr="005341F7">
        <w:rPr>
          <w:rFonts w:ascii="Arial" w:eastAsia="Times New Roman" w:hAnsi="Arial" w:cs="Arial"/>
        </w:rPr>
        <w:t>All Solid Wood Packaging Materials (SWPM) designed for export must be treated in accordance with 7 CFR 319.40, ISPM15 and/or the government regulations of the country of import. Domestic shipments do not require treatment, but it is recommended that all domestic SWPM should be marked with “Do Not Export”.</w:t>
      </w:r>
    </w:p>
    <w:p w:rsidR="005341F7" w:rsidRDefault="008071D7" w:rsidP="005341F7">
      <w:pPr>
        <w:pStyle w:val="NoSpacing"/>
        <w:numPr>
          <w:ilvl w:val="2"/>
          <w:numId w:val="11"/>
        </w:numPr>
        <w:rPr>
          <w:rFonts w:ascii="Arial" w:eastAsia="Times New Roman" w:hAnsi="Arial" w:cs="Arial"/>
        </w:rPr>
      </w:pPr>
      <w:r w:rsidRPr="005341F7">
        <w:rPr>
          <w:rFonts w:ascii="Arial" w:eastAsia="Times New Roman" w:hAnsi="Arial" w:cs="Arial"/>
        </w:rPr>
        <w:t>IPPC (ISPM 15) Stamp – IPPC (ISPM 15) Stamp is required as treatment marking for SWPM. The stamp must be applied immediately after the treatment and at the same location as that of the treatment. We will not allow for the SWPM to be moved to another location for marking (chopping) after treatment has been applied.</w:t>
      </w:r>
    </w:p>
    <w:p w:rsidR="005341F7" w:rsidRDefault="005341F7" w:rsidP="005341F7">
      <w:pPr>
        <w:pStyle w:val="NoSpacing"/>
        <w:rPr>
          <w:rFonts w:ascii="Arial" w:eastAsia="Times New Roman" w:hAnsi="Arial" w:cs="Arial"/>
        </w:rPr>
      </w:pPr>
    </w:p>
    <w:p w:rsidR="005341F7" w:rsidRDefault="005341F7" w:rsidP="005341F7">
      <w:pPr>
        <w:pStyle w:val="NoSpacing"/>
        <w:rPr>
          <w:rFonts w:ascii="Arial" w:eastAsia="Times New Roman" w:hAnsi="Arial" w:cs="Arial"/>
        </w:rPr>
      </w:pPr>
      <w:r w:rsidRPr="008071D7">
        <w:rPr>
          <w:noProof/>
        </w:rPr>
        <w:drawing>
          <wp:inline distT="0" distB="0" distL="0" distR="0" wp14:anchorId="7F1662CB" wp14:editId="18D90E58">
            <wp:extent cx="2438400" cy="18416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5647" cy="1847096"/>
                    </a:xfrm>
                    <a:prstGeom prst="rect">
                      <a:avLst/>
                    </a:prstGeom>
                  </pic:spPr>
                </pic:pic>
              </a:graphicData>
            </a:graphic>
          </wp:inline>
        </w:drawing>
      </w:r>
    </w:p>
    <w:p w:rsidR="006D5973" w:rsidRDefault="006D5973" w:rsidP="005341F7">
      <w:pPr>
        <w:pStyle w:val="NoSpacing"/>
        <w:rPr>
          <w:rFonts w:ascii="Arial" w:eastAsia="Times New Roman" w:hAnsi="Arial" w:cs="Arial"/>
        </w:rPr>
      </w:pPr>
    </w:p>
    <w:p w:rsidR="006D5973" w:rsidRDefault="006D5973" w:rsidP="006D5973">
      <w:pPr>
        <w:pStyle w:val="NoSpacing"/>
        <w:ind w:left="1224"/>
        <w:rPr>
          <w:rFonts w:ascii="Arial" w:eastAsia="Times New Roman" w:hAnsi="Arial" w:cs="Arial"/>
        </w:rPr>
      </w:pPr>
      <w:r>
        <w:rPr>
          <w:rFonts w:ascii="Arial" w:eastAsia="Times New Roman" w:hAnsi="Arial" w:cs="Arial"/>
        </w:rPr>
        <w:t xml:space="preserve">Examples of stamps on wooden pallets used in shipping that indicate ISPM 15 </w:t>
      </w:r>
      <w:proofErr w:type="spellStart"/>
      <w:r>
        <w:rPr>
          <w:rFonts w:ascii="Arial" w:eastAsia="Times New Roman" w:hAnsi="Arial" w:cs="Arial"/>
        </w:rPr>
        <w:t>complainces</w:t>
      </w:r>
      <w:proofErr w:type="spellEnd"/>
      <w:r>
        <w:rPr>
          <w:rFonts w:ascii="Arial" w:eastAsia="Times New Roman" w:hAnsi="Arial" w:cs="Arial"/>
        </w:rPr>
        <w:t xml:space="preserve"> </w:t>
      </w:r>
    </w:p>
    <w:p w:rsidR="006D5973" w:rsidRDefault="006D5973" w:rsidP="006D5973">
      <w:pPr>
        <w:pStyle w:val="NoSpacing"/>
        <w:ind w:left="1224"/>
        <w:rPr>
          <w:rFonts w:ascii="Arial" w:eastAsia="Times New Roman" w:hAnsi="Arial" w:cs="Arial"/>
        </w:rPr>
      </w:pPr>
    </w:p>
    <w:p w:rsidR="006D5973" w:rsidRDefault="006D5973" w:rsidP="006D5973">
      <w:pPr>
        <w:pStyle w:val="NoSpacing"/>
        <w:ind w:left="1224"/>
        <w:rPr>
          <w:rFonts w:ascii="Arial" w:eastAsia="Times New Roman" w:hAnsi="Arial" w:cs="Arial"/>
        </w:rPr>
      </w:pPr>
      <w:r>
        <w:rPr>
          <w:noProof/>
        </w:rPr>
        <w:drawing>
          <wp:inline distT="0" distB="0" distL="0" distR="0" wp14:anchorId="5CD5634F" wp14:editId="6A2B5029">
            <wp:extent cx="4990477" cy="1123810"/>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90477" cy="1123810"/>
                    </a:xfrm>
                    <a:prstGeom prst="rect">
                      <a:avLst/>
                    </a:prstGeom>
                  </pic:spPr>
                </pic:pic>
              </a:graphicData>
            </a:graphic>
          </wp:inline>
        </w:drawing>
      </w:r>
    </w:p>
    <w:p w:rsidR="006D5973" w:rsidRDefault="006D5973" w:rsidP="006D5973">
      <w:pPr>
        <w:pStyle w:val="NoSpacing"/>
        <w:rPr>
          <w:rFonts w:ascii="Arial" w:eastAsia="Times New Roman" w:hAnsi="Arial" w:cs="Arial"/>
        </w:rPr>
      </w:pPr>
    </w:p>
    <w:p w:rsidR="005341F7" w:rsidRDefault="008071D7" w:rsidP="005341F7">
      <w:pPr>
        <w:pStyle w:val="NoSpacing"/>
        <w:numPr>
          <w:ilvl w:val="2"/>
          <w:numId w:val="11"/>
        </w:numPr>
        <w:rPr>
          <w:rFonts w:ascii="Arial" w:eastAsia="Times New Roman" w:hAnsi="Arial" w:cs="Arial"/>
        </w:rPr>
      </w:pPr>
      <w:r w:rsidRPr="005341F7">
        <w:rPr>
          <w:rFonts w:ascii="Arial" w:eastAsia="Times New Roman" w:hAnsi="Arial" w:cs="Arial"/>
        </w:rPr>
        <w:lastRenderedPageBreak/>
        <w:t>It is supplier/factory’s sole responsibility to insure they are in compliance with the most updated government procedures, restrictions, and/or regulations governing SWPM and its treatment, not limited to what listed in this document.</w:t>
      </w:r>
    </w:p>
    <w:p w:rsidR="005341F7" w:rsidRPr="00BD6658" w:rsidRDefault="004675F3" w:rsidP="005341F7">
      <w:pPr>
        <w:pStyle w:val="NoSpacing"/>
        <w:numPr>
          <w:ilvl w:val="1"/>
          <w:numId w:val="11"/>
        </w:numPr>
        <w:rPr>
          <w:rFonts w:ascii="Arial" w:eastAsia="Times New Roman" w:hAnsi="Arial" w:cs="Arial"/>
          <w:b/>
        </w:rPr>
      </w:pPr>
      <w:r w:rsidRPr="00BD6658">
        <w:rPr>
          <w:rFonts w:ascii="Arial" w:eastAsia="Times New Roman" w:hAnsi="Arial" w:cs="Arial"/>
          <w:b/>
        </w:rPr>
        <w:t>Shipping Cartons:</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Cartons must use properly sized carton for product and carton quantity.</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 xml:space="preserve">Items should fit firmly in shipping carton to minimize damage during transit. </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Carton quality guidelines include:</w:t>
      </w:r>
    </w:p>
    <w:p w:rsidR="005341F7" w:rsidRDefault="004675F3" w:rsidP="005341F7">
      <w:pPr>
        <w:pStyle w:val="NoSpacing"/>
        <w:numPr>
          <w:ilvl w:val="3"/>
          <w:numId w:val="11"/>
        </w:numPr>
        <w:rPr>
          <w:rFonts w:ascii="Arial" w:eastAsia="Times New Roman" w:hAnsi="Arial" w:cs="Arial"/>
        </w:rPr>
      </w:pPr>
      <w:r w:rsidRPr="005341F7">
        <w:rPr>
          <w:rFonts w:ascii="Arial" w:eastAsia="Times New Roman" w:hAnsi="Arial" w:cs="Arial"/>
        </w:rPr>
        <w:t>Minimum Mullen Burst Test of 175-200 pounds corrugated fiberboard.</w:t>
      </w:r>
    </w:p>
    <w:p w:rsidR="005341F7" w:rsidRDefault="004675F3" w:rsidP="005341F7">
      <w:pPr>
        <w:pStyle w:val="NoSpacing"/>
        <w:numPr>
          <w:ilvl w:val="3"/>
          <w:numId w:val="11"/>
        </w:numPr>
        <w:rPr>
          <w:rFonts w:ascii="Arial" w:eastAsia="Times New Roman" w:hAnsi="Arial" w:cs="Arial"/>
        </w:rPr>
      </w:pPr>
      <w:r w:rsidRPr="005341F7">
        <w:rPr>
          <w:rFonts w:ascii="Arial" w:eastAsia="Times New Roman" w:hAnsi="Arial" w:cs="Arial"/>
        </w:rPr>
        <w:t xml:space="preserve">Minimum Edge Crush Test factor of 29-32. </w:t>
      </w:r>
    </w:p>
    <w:p w:rsidR="005341F7" w:rsidRDefault="004675F3" w:rsidP="005341F7">
      <w:pPr>
        <w:pStyle w:val="NoSpacing"/>
        <w:numPr>
          <w:ilvl w:val="3"/>
          <w:numId w:val="11"/>
        </w:numPr>
        <w:rPr>
          <w:rFonts w:ascii="Arial" w:eastAsia="Times New Roman" w:hAnsi="Arial" w:cs="Arial"/>
        </w:rPr>
      </w:pPr>
      <w:r w:rsidRPr="005341F7">
        <w:rPr>
          <w:rFonts w:ascii="Arial" w:eastAsia="Times New Roman" w:hAnsi="Arial" w:cs="Arial"/>
        </w:rPr>
        <w:t xml:space="preserve">May need to be stronger for heavier cartons or fragile products. </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Cartons must be sealed with tape or glue.</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 xml:space="preserve">Ensure carton will remain sealed through changes in the climate (temperature, humidity, etc.) and multiple handlings.  </w:t>
      </w:r>
      <w:r w:rsidR="005341F7">
        <w:rPr>
          <w:rFonts w:ascii="Arial" w:eastAsia="Times New Roman" w:hAnsi="Arial" w:cs="Arial"/>
        </w:rPr>
        <w:t xml:space="preserve"> </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Do not use bands or staples.</w:t>
      </w:r>
    </w:p>
    <w:p w:rsid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 xml:space="preserve">No stretch wrap on individual cartons. </w:t>
      </w:r>
    </w:p>
    <w:p w:rsidR="004675F3" w:rsidRPr="005341F7" w:rsidRDefault="004675F3" w:rsidP="005341F7">
      <w:pPr>
        <w:pStyle w:val="NoSpacing"/>
        <w:numPr>
          <w:ilvl w:val="2"/>
          <w:numId w:val="11"/>
        </w:numPr>
        <w:rPr>
          <w:rFonts w:ascii="Arial" w:eastAsia="Times New Roman" w:hAnsi="Arial" w:cs="Arial"/>
        </w:rPr>
      </w:pPr>
      <w:r w:rsidRPr="005341F7">
        <w:rPr>
          <w:rFonts w:ascii="Arial" w:eastAsia="Times New Roman" w:hAnsi="Arial" w:cs="Arial"/>
        </w:rPr>
        <w:t xml:space="preserve">Pack fragile items with adequate protection. Retail packaging must arrive undamaged without denting, punctures, breaks or tears.  Case pack must provide adequate protection.  </w:t>
      </w:r>
    </w:p>
    <w:p w:rsidR="006836A0" w:rsidRPr="006836A0" w:rsidRDefault="006836A0" w:rsidP="006836A0">
      <w:pPr>
        <w:pStyle w:val="NoSpacing"/>
        <w:ind w:left="2160"/>
        <w:rPr>
          <w:rFonts w:ascii="Arial" w:eastAsia="Times New Roman" w:hAnsi="Arial" w:cs="Arial"/>
        </w:rPr>
      </w:pPr>
    </w:p>
    <w:p w:rsidR="006836A0" w:rsidRPr="006836A0" w:rsidRDefault="006836A0" w:rsidP="006836A0">
      <w:pPr>
        <w:pStyle w:val="NoSpacing"/>
        <w:ind w:left="2160"/>
        <w:rPr>
          <w:rFonts w:ascii="Arial" w:eastAsia="Times New Roman" w:hAnsi="Arial" w:cs="Arial"/>
        </w:rPr>
      </w:pPr>
    </w:p>
    <w:p w:rsidR="006836A0" w:rsidRPr="006836A0" w:rsidRDefault="006836A0" w:rsidP="005341F7">
      <w:pPr>
        <w:pStyle w:val="NoSpacing"/>
        <w:numPr>
          <w:ilvl w:val="0"/>
          <w:numId w:val="11"/>
        </w:numPr>
        <w:rPr>
          <w:rFonts w:ascii="Arial" w:eastAsia="Times New Roman" w:hAnsi="Arial" w:cs="Arial"/>
        </w:rPr>
      </w:pPr>
      <w:r w:rsidRPr="006836A0">
        <w:rPr>
          <w:rFonts w:ascii="Arial" w:eastAsia="Times New Roman" w:hAnsi="Arial" w:cs="Arial"/>
        </w:rPr>
        <w:t>Labeling Requirements</w:t>
      </w:r>
      <w:r>
        <w:rPr>
          <w:rFonts w:ascii="Arial" w:eastAsia="Times New Roman" w:hAnsi="Arial" w:cs="Arial"/>
        </w:rPr>
        <w:t>:</w:t>
      </w:r>
    </w:p>
    <w:p w:rsidR="006836A0" w:rsidRP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Packing Slip: Each product shipment will have a packing slip securely attached to the outside of one of the containers and under the stretch or shrink film wrapping when applied.  For multiple box shipments the boxes in the shipment of n boxes will each be labeled “1 of n,” “2 of n”, etc with the packing slip inserted into the number one box.  The number one box will be labeled “Packing slip inside.”</w:t>
      </w:r>
    </w:p>
    <w:p w:rsidR="006836A0" w:rsidRP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 xml:space="preserve">The product package is also known as a unit package.  All products, including kits, enclosed in a unit/product package will be identical. </w:t>
      </w:r>
    </w:p>
    <w:p w:rsidR="006836A0" w:rsidRP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 xml:space="preserve">The part numbers, descriptions product identification and descriptive codes that are displayed on the exterior of these containers must be the same as those listed in the contract.  </w:t>
      </w:r>
    </w:p>
    <w:p w:rsidR="006836A0" w:rsidRP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Product/Unit packages will have the following information displayed on the bar code:</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Purchase order number, purchase order line, purchase order release (bar coded)</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Quantity (bar coded)</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Part number or Item number (bar coded)</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Item description (or drawing number)</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 xml:space="preserve">Consignment material Yes or No (if applicable) </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Lot number or manufacturing date</w:t>
      </w:r>
    </w:p>
    <w:p w:rsidR="006836A0" w:rsidRPr="006836A0" w:rsidRDefault="000E4DC1" w:rsidP="006836A0">
      <w:pPr>
        <w:pStyle w:val="NoSpacing"/>
        <w:numPr>
          <w:ilvl w:val="2"/>
          <w:numId w:val="25"/>
        </w:numPr>
        <w:rPr>
          <w:rFonts w:ascii="Arial" w:eastAsia="Times New Roman" w:hAnsi="Arial" w:cs="Arial"/>
        </w:rPr>
      </w:pPr>
      <w:r>
        <w:rPr>
          <w:rFonts w:ascii="Arial" w:eastAsia="Times New Roman" w:hAnsi="Arial" w:cs="Arial"/>
        </w:rPr>
        <w:t>Drawing Revision</w:t>
      </w:r>
      <w:r w:rsidR="006836A0" w:rsidRPr="006836A0">
        <w:rPr>
          <w:rFonts w:ascii="Arial" w:eastAsia="Times New Roman" w:hAnsi="Arial" w:cs="Arial"/>
        </w:rPr>
        <w:t xml:space="preserve"> </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UPC barcode (if applicable) (bar coded)</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Quantity (bar coded)</w:t>
      </w:r>
    </w:p>
    <w:p w:rsidR="006836A0" w:rsidRP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Country of Origin</w:t>
      </w:r>
    </w:p>
    <w:p w:rsidR="006836A0" w:rsidRDefault="006836A0" w:rsidP="006836A0">
      <w:pPr>
        <w:pStyle w:val="NoSpacing"/>
        <w:numPr>
          <w:ilvl w:val="2"/>
          <w:numId w:val="25"/>
        </w:numPr>
        <w:rPr>
          <w:rFonts w:ascii="Arial" w:eastAsia="Times New Roman" w:hAnsi="Arial" w:cs="Arial"/>
        </w:rPr>
      </w:pPr>
      <w:r w:rsidRPr="006836A0">
        <w:rPr>
          <w:rFonts w:ascii="Arial" w:eastAsia="Times New Roman" w:hAnsi="Arial" w:cs="Arial"/>
        </w:rPr>
        <w:t>Box weight</w:t>
      </w:r>
    </w:p>
    <w:p w:rsidR="005653E3" w:rsidRDefault="005653E3" w:rsidP="005653E3">
      <w:pPr>
        <w:pStyle w:val="NoSpacing"/>
        <w:ind w:left="2160"/>
        <w:rPr>
          <w:rFonts w:ascii="Arial" w:eastAsia="Times New Roman" w:hAnsi="Arial" w:cs="Arial"/>
        </w:rPr>
      </w:pPr>
    </w:p>
    <w:p w:rsidR="005653E3" w:rsidRDefault="005653E3" w:rsidP="005653E3">
      <w:pPr>
        <w:pStyle w:val="NoSpacing"/>
        <w:rPr>
          <w:rFonts w:ascii="Arial" w:eastAsia="Times New Roman" w:hAnsi="Arial" w:cs="Arial"/>
        </w:rPr>
      </w:pPr>
      <w:r>
        <w:rPr>
          <w:noProof/>
        </w:rPr>
        <w:drawing>
          <wp:inline distT="0" distB="0" distL="0" distR="0" wp14:anchorId="3F0FD2B7" wp14:editId="5D139184">
            <wp:extent cx="5847619" cy="317142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47619" cy="3171429"/>
                    </a:xfrm>
                    <a:prstGeom prst="rect">
                      <a:avLst/>
                    </a:prstGeom>
                  </pic:spPr>
                </pic:pic>
              </a:graphicData>
            </a:graphic>
          </wp:inline>
        </w:drawing>
      </w:r>
    </w:p>
    <w:p w:rsidR="005653E3" w:rsidRDefault="005653E3" w:rsidP="005653E3">
      <w:pPr>
        <w:pStyle w:val="NoSpacing"/>
        <w:ind w:left="2160"/>
        <w:rPr>
          <w:rFonts w:ascii="Arial" w:eastAsia="Times New Roman" w:hAnsi="Arial" w:cs="Arial"/>
        </w:rPr>
      </w:pPr>
    </w:p>
    <w:p w:rsidR="005653E3" w:rsidRDefault="005653E3" w:rsidP="005653E3">
      <w:pPr>
        <w:pStyle w:val="NoSpacing"/>
        <w:ind w:left="2160"/>
        <w:rPr>
          <w:rFonts w:ascii="Arial" w:eastAsia="Times New Roman" w:hAnsi="Arial" w:cs="Arial"/>
        </w:rPr>
      </w:pPr>
    </w:p>
    <w:p w:rsidR="005653E3" w:rsidRPr="006836A0" w:rsidRDefault="005653E3" w:rsidP="005653E3">
      <w:pPr>
        <w:pStyle w:val="NoSpacing"/>
        <w:ind w:left="2160"/>
        <w:rPr>
          <w:rFonts w:ascii="Arial" w:eastAsia="Times New Roman" w:hAnsi="Arial" w:cs="Arial"/>
        </w:rPr>
      </w:pPr>
    </w:p>
    <w:p w:rsidR="006836A0" w:rsidRP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Master Carton packages will have the following:</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Supplier Name</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Purchase order number, purchase order line, purchase order release (bar coded)</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Quantity (bar coded)</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Part number or Item number (bar coded)</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Part revision</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Item description (or drawing number)</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Lot number or manufacturing date</w:t>
      </w:r>
    </w:p>
    <w:p w:rsidR="00CF2A23" w:rsidRPr="006836A0" w:rsidRDefault="00CF2A23" w:rsidP="00CF2A23">
      <w:pPr>
        <w:pStyle w:val="NoSpacing"/>
        <w:numPr>
          <w:ilvl w:val="2"/>
          <w:numId w:val="26"/>
        </w:numPr>
        <w:rPr>
          <w:rFonts w:ascii="Arial" w:eastAsia="Times New Roman" w:hAnsi="Arial" w:cs="Arial"/>
        </w:rPr>
      </w:pPr>
      <w:r>
        <w:rPr>
          <w:rFonts w:ascii="Arial" w:eastAsia="Times New Roman" w:hAnsi="Arial" w:cs="Arial"/>
        </w:rPr>
        <w:t>Drawing Revision</w:t>
      </w:r>
      <w:r w:rsidRPr="006836A0">
        <w:rPr>
          <w:rFonts w:ascii="Arial" w:eastAsia="Times New Roman" w:hAnsi="Arial" w:cs="Arial"/>
        </w:rPr>
        <w:t xml:space="preserve"> </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UPC barcode (if applicable) (bar coded)</w:t>
      </w:r>
    </w:p>
    <w:p w:rsidR="006836A0" w:rsidRP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Quantity per box (bar coded)</w:t>
      </w:r>
    </w:p>
    <w:p w:rsidR="006836A0" w:rsidRDefault="006836A0" w:rsidP="006836A0">
      <w:pPr>
        <w:pStyle w:val="NoSpacing"/>
        <w:numPr>
          <w:ilvl w:val="2"/>
          <w:numId w:val="26"/>
        </w:numPr>
        <w:rPr>
          <w:rFonts w:ascii="Arial" w:eastAsia="Times New Roman" w:hAnsi="Arial" w:cs="Arial"/>
        </w:rPr>
      </w:pPr>
      <w:r w:rsidRPr="006836A0">
        <w:rPr>
          <w:rFonts w:ascii="Arial" w:eastAsia="Times New Roman" w:hAnsi="Arial" w:cs="Arial"/>
        </w:rPr>
        <w:t>Master Carton weight</w:t>
      </w:r>
    </w:p>
    <w:p w:rsidR="00625CD6" w:rsidRDefault="00625CD6"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Default="00903A47" w:rsidP="00625CD6">
      <w:pPr>
        <w:pStyle w:val="NoSpacing"/>
        <w:rPr>
          <w:rFonts w:ascii="Arial" w:eastAsia="Times New Roman" w:hAnsi="Arial" w:cs="Arial"/>
        </w:rPr>
      </w:pPr>
    </w:p>
    <w:p w:rsidR="00903A47" w:rsidRPr="00903A47" w:rsidRDefault="00903A47" w:rsidP="00903A47">
      <w:pPr>
        <w:pStyle w:val="NoSpacing"/>
        <w:jc w:val="center"/>
        <w:rPr>
          <w:rFonts w:ascii="Arial" w:eastAsia="Times New Roman" w:hAnsi="Arial" w:cs="Arial"/>
          <w:b/>
        </w:rPr>
      </w:pPr>
      <w:r w:rsidRPr="00903A47">
        <w:rPr>
          <w:rFonts w:ascii="Arial" w:eastAsia="Times New Roman" w:hAnsi="Arial" w:cs="Arial"/>
          <w:b/>
        </w:rPr>
        <w:lastRenderedPageBreak/>
        <w:t>Sample Retail Master Case</w:t>
      </w:r>
    </w:p>
    <w:p w:rsidR="00625CD6" w:rsidRPr="006836A0" w:rsidRDefault="00625CD6" w:rsidP="00625CD6">
      <w:pPr>
        <w:pStyle w:val="NoSpacing"/>
        <w:rPr>
          <w:rFonts w:ascii="Arial" w:eastAsia="Times New Roman" w:hAnsi="Arial" w:cs="Arial"/>
        </w:rPr>
      </w:pPr>
      <w:r>
        <w:rPr>
          <w:noProof/>
        </w:rPr>
        <w:drawing>
          <wp:inline distT="0" distB="0" distL="0" distR="0" wp14:anchorId="2BE7A299" wp14:editId="70558ACA">
            <wp:extent cx="5943600" cy="2290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90445"/>
                    </a:xfrm>
                    <a:prstGeom prst="rect">
                      <a:avLst/>
                    </a:prstGeom>
                  </pic:spPr>
                </pic:pic>
              </a:graphicData>
            </a:graphic>
          </wp:inline>
        </w:drawing>
      </w:r>
    </w:p>
    <w:p w:rsidR="006836A0" w:rsidRDefault="006836A0" w:rsidP="005341F7">
      <w:pPr>
        <w:pStyle w:val="NoSpacing"/>
        <w:numPr>
          <w:ilvl w:val="1"/>
          <w:numId w:val="11"/>
        </w:numPr>
        <w:rPr>
          <w:rFonts w:ascii="Arial" w:eastAsia="Times New Roman" w:hAnsi="Arial" w:cs="Arial"/>
        </w:rPr>
      </w:pPr>
      <w:r w:rsidRPr="006836A0">
        <w:rPr>
          <w:rFonts w:ascii="Arial" w:eastAsia="Times New Roman" w:hAnsi="Arial" w:cs="Arial"/>
        </w:rPr>
        <w:t xml:space="preserve">Product label should be located in the upper left hand corner of the small face of the carton. </w:t>
      </w:r>
    </w:p>
    <w:p w:rsidR="005341F7" w:rsidRDefault="005341F7" w:rsidP="005341F7">
      <w:pPr>
        <w:pStyle w:val="NoSpacing"/>
        <w:numPr>
          <w:ilvl w:val="1"/>
          <w:numId w:val="11"/>
        </w:numPr>
        <w:rPr>
          <w:rFonts w:ascii="Arial" w:eastAsia="Times New Roman" w:hAnsi="Arial" w:cs="Arial"/>
        </w:rPr>
      </w:pPr>
      <w:r>
        <w:rPr>
          <w:rFonts w:ascii="Arial" w:eastAsia="Times New Roman" w:hAnsi="Arial" w:cs="Arial"/>
        </w:rPr>
        <w:t xml:space="preserve">Unitized loads require a label reading “SAME” in </w:t>
      </w:r>
      <w:proofErr w:type="spellStart"/>
      <w:r>
        <w:rPr>
          <w:rFonts w:ascii="Arial" w:eastAsia="Times New Roman" w:hAnsi="Arial" w:cs="Arial"/>
        </w:rPr>
        <w:t>charcters</w:t>
      </w:r>
      <w:proofErr w:type="spellEnd"/>
      <w:r>
        <w:rPr>
          <w:rFonts w:ascii="Arial" w:eastAsia="Times New Roman" w:hAnsi="Arial" w:cs="Arial"/>
        </w:rPr>
        <w:t xml:space="preserve"> not less than ¾ of an inch in height will be affixed on each for lift entry side of the pallet. </w:t>
      </w:r>
    </w:p>
    <w:p w:rsidR="00AF27B1" w:rsidRDefault="00AF27B1" w:rsidP="00AF27B1">
      <w:pPr>
        <w:pStyle w:val="NoSpacing"/>
        <w:numPr>
          <w:ilvl w:val="1"/>
          <w:numId w:val="11"/>
        </w:numPr>
        <w:rPr>
          <w:rFonts w:ascii="Arial" w:eastAsia="Times New Roman" w:hAnsi="Arial" w:cs="Arial"/>
        </w:rPr>
      </w:pPr>
      <w:r>
        <w:rPr>
          <w:rFonts w:ascii="Arial" w:eastAsia="Times New Roman" w:hAnsi="Arial" w:cs="Arial"/>
        </w:rPr>
        <w:t xml:space="preserve">Mixed loads require a label reading “MIXED LOADS” in </w:t>
      </w:r>
      <w:proofErr w:type="spellStart"/>
      <w:r>
        <w:rPr>
          <w:rFonts w:ascii="Arial" w:eastAsia="Times New Roman" w:hAnsi="Arial" w:cs="Arial"/>
        </w:rPr>
        <w:t>charcters</w:t>
      </w:r>
      <w:proofErr w:type="spellEnd"/>
      <w:r>
        <w:rPr>
          <w:rFonts w:ascii="Arial" w:eastAsia="Times New Roman" w:hAnsi="Arial" w:cs="Arial"/>
        </w:rPr>
        <w:t xml:space="preserve"> not less than ¾ of an inch in height will be affixed on each for lift entry side of the pallet. </w:t>
      </w:r>
    </w:p>
    <w:p w:rsidR="005653E3" w:rsidRPr="005653E3" w:rsidRDefault="006836A0" w:rsidP="005653E3">
      <w:pPr>
        <w:pStyle w:val="NoSpacing"/>
        <w:numPr>
          <w:ilvl w:val="1"/>
          <w:numId w:val="11"/>
        </w:numPr>
        <w:rPr>
          <w:rFonts w:ascii="Arial" w:eastAsia="Times New Roman" w:hAnsi="Arial" w:cs="Arial"/>
        </w:rPr>
      </w:pPr>
      <w:r w:rsidRPr="00CF2A23">
        <w:rPr>
          <w:rFonts w:ascii="Arial" w:eastAsia="Times New Roman" w:hAnsi="Arial" w:cs="Arial"/>
        </w:rPr>
        <w:t>UPC</w:t>
      </w:r>
    </w:p>
    <w:p w:rsidR="004675F3" w:rsidRDefault="004675F3" w:rsidP="005341F7">
      <w:pPr>
        <w:pStyle w:val="NoSpacing"/>
        <w:numPr>
          <w:ilvl w:val="2"/>
          <w:numId w:val="11"/>
        </w:numPr>
        <w:rPr>
          <w:rFonts w:ascii="Arial" w:eastAsia="Times New Roman" w:hAnsi="Arial" w:cs="Arial"/>
        </w:rPr>
      </w:pPr>
      <w:r>
        <w:rPr>
          <w:rFonts w:ascii="Arial" w:eastAsia="Times New Roman" w:hAnsi="Arial" w:cs="Arial"/>
        </w:rPr>
        <w:t xml:space="preserve">Single units sold at the merchant level require the bar code type “UPC-A”.  This is a standard 12 digit bar code that must be applied at the single unit level.  </w:t>
      </w:r>
    </w:p>
    <w:p w:rsidR="004675F3" w:rsidRDefault="004675F3" w:rsidP="005341F7">
      <w:pPr>
        <w:pStyle w:val="NoSpacing"/>
        <w:numPr>
          <w:ilvl w:val="2"/>
          <w:numId w:val="11"/>
        </w:numPr>
        <w:rPr>
          <w:rFonts w:ascii="Arial" w:eastAsia="Times New Roman" w:hAnsi="Arial" w:cs="Arial"/>
        </w:rPr>
      </w:pPr>
      <w:r>
        <w:rPr>
          <w:rFonts w:ascii="Arial" w:eastAsia="Times New Roman" w:hAnsi="Arial" w:cs="Arial"/>
        </w:rPr>
        <w:t xml:space="preserve">Scanable UPC is required to be visible on each sellable unit.  </w:t>
      </w:r>
    </w:p>
    <w:p w:rsidR="00B80C3B" w:rsidRDefault="004675F3" w:rsidP="005341F7">
      <w:pPr>
        <w:pStyle w:val="NoSpacing"/>
        <w:numPr>
          <w:ilvl w:val="2"/>
          <w:numId w:val="11"/>
        </w:numPr>
        <w:rPr>
          <w:rFonts w:ascii="Arial" w:eastAsia="Times New Roman" w:hAnsi="Arial" w:cs="Arial"/>
        </w:rPr>
      </w:pPr>
      <w:r>
        <w:rPr>
          <w:rFonts w:ascii="Arial" w:eastAsia="Times New Roman" w:hAnsi="Arial" w:cs="Arial"/>
        </w:rPr>
        <w:t xml:space="preserve">One UPC corresponds to </w:t>
      </w:r>
      <w:r w:rsidR="005341F7">
        <w:rPr>
          <w:rFonts w:ascii="Arial" w:eastAsia="Times New Roman" w:hAnsi="Arial" w:cs="Arial"/>
        </w:rPr>
        <w:t>one</w:t>
      </w:r>
      <w:r>
        <w:rPr>
          <w:rFonts w:ascii="Arial" w:eastAsia="Times New Roman" w:hAnsi="Arial" w:cs="Arial"/>
        </w:rPr>
        <w:t xml:space="preserve"> unique product including assortments. </w:t>
      </w:r>
    </w:p>
    <w:p w:rsidR="00B80C3B" w:rsidRPr="00CF2A23" w:rsidRDefault="00B80C3B" w:rsidP="00B80C3B">
      <w:pPr>
        <w:pStyle w:val="NoSpacing"/>
        <w:numPr>
          <w:ilvl w:val="2"/>
          <w:numId w:val="11"/>
        </w:numPr>
        <w:rPr>
          <w:rFonts w:ascii="Arial" w:eastAsia="Times New Roman" w:hAnsi="Arial" w:cs="Arial"/>
        </w:rPr>
      </w:pPr>
      <w:r>
        <w:rPr>
          <w:rFonts w:ascii="Arial" w:eastAsia="Times New Roman" w:hAnsi="Arial" w:cs="Arial"/>
        </w:rPr>
        <w:t>UPC barcode is to be printed black on white non reflective material.  The minimum size requirements are as follows:</w:t>
      </w:r>
    </w:p>
    <w:tbl>
      <w:tblPr>
        <w:tblW w:w="6340" w:type="dxa"/>
        <w:jc w:val="center"/>
        <w:tblInd w:w="93" w:type="dxa"/>
        <w:tblLook w:val="04A0" w:firstRow="1" w:lastRow="0" w:firstColumn="1" w:lastColumn="0" w:noHBand="0" w:noVBand="1"/>
      </w:tblPr>
      <w:tblGrid>
        <w:gridCol w:w="1780"/>
        <w:gridCol w:w="4560"/>
      </w:tblGrid>
      <w:tr w:rsidR="00B80C3B" w:rsidRPr="00B80C3B" w:rsidTr="00B80C3B">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 </w:t>
            </w:r>
          </w:p>
        </w:tc>
        <w:tc>
          <w:tcPr>
            <w:tcW w:w="4560" w:type="dxa"/>
            <w:tcBorders>
              <w:top w:val="single" w:sz="4" w:space="0" w:color="auto"/>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GS1 Standard Range</w:t>
            </w:r>
          </w:p>
        </w:tc>
      </w:tr>
      <w:tr w:rsidR="00B80C3B" w:rsidRPr="00B80C3B" w:rsidTr="00B80C3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Narrow Bar</w:t>
            </w:r>
          </w:p>
        </w:tc>
        <w:tc>
          <w:tcPr>
            <w:tcW w:w="4560" w:type="dxa"/>
            <w:tcBorders>
              <w:top w:val="nil"/>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From 10 to 26 mil (0.010 to0.026”)</w:t>
            </w:r>
          </w:p>
        </w:tc>
      </w:tr>
      <w:tr w:rsidR="00B80C3B" w:rsidRPr="00B80C3B" w:rsidTr="00B80C3B">
        <w:trPr>
          <w:trHeight w:val="21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 xml:space="preserve">Wide Bar </w:t>
            </w:r>
          </w:p>
        </w:tc>
        <w:tc>
          <w:tcPr>
            <w:tcW w:w="4560" w:type="dxa"/>
            <w:tcBorders>
              <w:top w:val="nil"/>
              <w:left w:val="nil"/>
              <w:bottom w:val="single" w:sz="4" w:space="0" w:color="auto"/>
              <w:right w:val="single" w:sz="4" w:space="0" w:color="auto"/>
            </w:tcBorders>
            <w:shd w:val="clear" w:color="auto" w:fill="auto"/>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Variable – See GS1 Guidelines at</w:t>
            </w:r>
            <w:r w:rsidRPr="00B80C3B">
              <w:rPr>
                <w:rFonts w:ascii="Calibri" w:hAnsi="Calibri" w:cs="Calibri"/>
                <w:color w:val="000000"/>
                <w:sz w:val="22"/>
                <w:szCs w:val="22"/>
              </w:rPr>
              <w:br/>
              <w:t>www.gs1us.org</w:t>
            </w:r>
          </w:p>
        </w:tc>
      </w:tr>
      <w:tr w:rsidR="00B80C3B" w:rsidRPr="00B80C3B" w:rsidTr="00B80C3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Quiet Zone</w:t>
            </w:r>
          </w:p>
        </w:tc>
        <w:tc>
          <w:tcPr>
            <w:tcW w:w="4560" w:type="dxa"/>
            <w:tcBorders>
              <w:top w:val="nil"/>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Nominal size .117” (scalable from 80% to 200%</w:t>
            </w:r>
            <w:r w:rsidRPr="00B80C3B">
              <w:rPr>
                <w:rFonts w:ascii="Calibri" w:hAnsi="Calibri" w:cs="Calibri"/>
                <w:b/>
                <w:bCs/>
                <w:color w:val="000000"/>
                <w:sz w:val="22"/>
                <w:szCs w:val="22"/>
              </w:rPr>
              <w:t>)</w:t>
            </w:r>
          </w:p>
        </w:tc>
      </w:tr>
      <w:tr w:rsidR="00B80C3B" w:rsidRPr="00B80C3B" w:rsidTr="00B80C3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 xml:space="preserve">Total Height </w:t>
            </w:r>
          </w:p>
        </w:tc>
        <w:tc>
          <w:tcPr>
            <w:tcW w:w="4560" w:type="dxa"/>
            <w:tcBorders>
              <w:top w:val="nil"/>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From 0.816” to 2.04”</w:t>
            </w:r>
          </w:p>
        </w:tc>
      </w:tr>
      <w:tr w:rsidR="00B80C3B" w:rsidRPr="00B80C3B" w:rsidTr="00B80C3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ANSI Print Quality</w:t>
            </w:r>
          </w:p>
        </w:tc>
        <w:tc>
          <w:tcPr>
            <w:tcW w:w="4560" w:type="dxa"/>
            <w:tcBorders>
              <w:top w:val="nil"/>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ANSI “C”</w:t>
            </w:r>
          </w:p>
        </w:tc>
      </w:tr>
      <w:tr w:rsidR="00B80C3B" w:rsidRPr="00B80C3B" w:rsidTr="00B80C3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lastRenderedPageBreak/>
              <w:t>Print Method</w:t>
            </w:r>
          </w:p>
        </w:tc>
        <w:tc>
          <w:tcPr>
            <w:tcW w:w="4560" w:type="dxa"/>
            <w:tcBorders>
              <w:top w:val="nil"/>
              <w:left w:val="nil"/>
              <w:bottom w:val="single" w:sz="4" w:space="0" w:color="auto"/>
              <w:right w:val="single" w:sz="4" w:space="0" w:color="auto"/>
            </w:tcBorders>
            <w:shd w:val="clear" w:color="auto" w:fill="auto"/>
            <w:noWrap/>
            <w:vAlign w:val="bottom"/>
            <w:hideMark/>
          </w:tcPr>
          <w:p w:rsidR="00B80C3B" w:rsidRPr="00B80C3B" w:rsidRDefault="00B80C3B" w:rsidP="00B80C3B">
            <w:pPr>
              <w:rPr>
                <w:rFonts w:ascii="Calibri" w:hAnsi="Calibri" w:cs="Calibri"/>
                <w:color w:val="000000"/>
                <w:sz w:val="22"/>
                <w:szCs w:val="22"/>
              </w:rPr>
            </w:pPr>
            <w:r w:rsidRPr="00B80C3B">
              <w:rPr>
                <w:rFonts w:ascii="Calibri" w:hAnsi="Calibri" w:cs="Calibri"/>
                <w:color w:val="000000"/>
                <w:sz w:val="22"/>
                <w:szCs w:val="22"/>
              </w:rPr>
              <w:t xml:space="preserve"> Thermal Transfer</w:t>
            </w:r>
          </w:p>
        </w:tc>
      </w:tr>
    </w:tbl>
    <w:p w:rsidR="00B80C3B" w:rsidRDefault="00B80C3B" w:rsidP="00B80C3B">
      <w:pPr>
        <w:pStyle w:val="NoSpacing"/>
        <w:ind w:left="1224"/>
        <w:rPr>
          <w:rFonts w:ascii="Arial" w:eastAsia="Times New Roman" w:hAnsi="Arial" w:cs="Arial"/>
        </w:rPr>
      </w:pPr>
    </w:p>
    <w:p w:rsidR="004675F3" w:rsidRPr="005341F7" w:rsidRDefault="00B80C3B" w:rsidP="005341F7">
      <w:pPr>
        <w:pStyle w:val="NoSpacing"/>
        <w:numPr>
          <w:ilvl w:val="2"/>
          <w:numId w:val="11"/>
        </w:numPr>
        <w:rPr>
          <w:rFonts w:ascii="Arial" w:eastAsia="Times New Roman" w:hAnsi="Arial" w:cs="Arial"/>
        </w:rPr>
      </w:pPr>
      <w:r w:rsidRPr="005341F7">
        <w:rPr>
          <w:rFonts w:ascii="Arial" w:eastAsia="Times New Roman" w:hAnsi="Arial" w:cs="Arial"/>
        </w:rPr>
        <w:t xml:space="preserve">UPC barcode with </w:t>
      </w:r>
      <w:r w:rsidR="005341F7" w:rsidRPr="005341F7">
        <w:rPr>
          <w:rFonts w:ascii="Arial" w:eastAsia="Times New Roman" w:hAnsi="Arial" w:cs="Arial"/>
        </w:rPr>
        <w:t>dimensions in millimeters.  Not to scale.</w:t>
      </w:r>
    </w:p>
    <w:p w:rsidR="004675F3" w:rsidRDefault="004675F3" w:rsidP="004675F3">
      <w:pPr>
        <w:pStyle w:val="NoSpacing"/>
        <w:ind w:left="360"/>
        <w:jc w:val="center"/>
        <w:rPr>
          <w:rFonts w:ascii="Arial" w:eastAsia="Times New Roman" w:hAnsi="Arial" w:cs="Arial"/>
        </w:rPr>
      </w:pPr>
      <w:r w:rsidRPr="004675F3">
        <w:rPr>
          <w:noProof/>
        </w:rPr>
        <w:drawing>
          <wp:inline distT="0" distB="0" distL="0" distR="0" wp14:anchorId="00465265" wp14:editId="24D39F0C">
            <wp:extent cx="3683480" cy="27378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392" t="9330" r="8135" b="4785"/>
                    <a:stretch/>
                  </pic:blipFill>
                  <pic:spPr bwMode="auto">
                    <a:xfrm>
                      <a:off x="0" y="0"/>
                      <a:ext cx="3687243" cy="2740621"/>
                    </a:xfrm>
                    <a:prstGeom prst="rect">
                      <a:avLst/>
                    </a:prstGeom>
                    <a:ln>
                      <a:noFill/>
                    </a:ln>
                    <a:extLst>
                      <a:ext uri="{53640926-AAD7-44D8-BBD7-CCE9431645EC}">
                        <a14:shadowObscured xmlns:a14="http://schemas.microsoft.com/office/drawing/2010/main"/>
                      </a:ext>
                    </a:extLst>
                  </pic:spPr>
                </pic:pic>
              </a:graphicData>
            </a:graphic>
          </wp:inline>
        </w:drawing>
      </w:r>
    </w:p>
    <w:p w:rsidR="004675F3" w:rsidRPr="004675F3" w:rsidRDefault="004675F3" w:rsidP="004675F3">
      <w:pPr>
        <w:pStyle w:val="NoSpacing"/>
        <w:ind w:left="360"/>
        <w:rPr>
          <w:rFonts w:ascii="Arial" w:eastAsia="Times New Roman" w:hAnsi="Arial" w:cs="Arial"/>
        </w:rPr>
      </w:pPr>
    </w:p>
    <w:p w:rsidR="00B80C3B" w:rsidRDefault="00B80C3B" w:rsidP="005341F7">
      <w:pPr>
        <w:pStyle w:val="NoSpacing"/>
        <w:numPr>
          <w:ilvl w:val="1"/>
          <w:numId w:val="11"/>
        </w:numPr>
        <w:rPr>
          <w:rFonts w:ascii="Arial" w:eastAsia="Times New Roman" w:hAnsi="Arial" w:cs="Arial"/>
        </w:rPr>
      </w:pPr>
      <w:r w:rsidRPr="00B80C3B">
        <w:rPr>
          <w:rFonts w:ascii="Arial" w:eastAsia="Times New Roman" w:hAnsi="Arial" w:cs="Arial"/>
        </w:rPr>
        <w:t xml:space="preserve">ITF-14-Shippping Container Code:  </w:t>
      </w:r>
    </w:p>
    <w:p w:rsidR="00B80C3B" w:rsidRDefault="00B80C3B" w:rsidP="005341F7">
      <w:pPr>
        <w:pStyle w:val="NoSpacing"/>
        <w:numPr>
          <w:ilvl w:val="2"/>
          <w:numId w:val="11"/>
        </w:numPr>
        <w:rPr>
          <w:rFonts w:ascii="Arial" w:eastAsia="Times New Roman" w:hAnsi="Arial" w:cs="Arial"/>
        </w:rPr>
      </w:pPr>
      <w:r w:rsidRPr="00B80C3B">
        <w:rPr>
          <w:rFonts w:ascii="Arial" w:eastAsia="Times New Roman" w:hAnsi="Arial" w:cs="Arial"/>
        </w:rPr>
        <w:t>Master cases that are shipped between warehousing require an “Interleave two of five” (ITF-14) barcode. This is a standard 14 digit bar code that must be applied to each master case. When this barcode is printed on corrugate there must be barrier bars on all side of the barcode with at minimum a quarter inch of quiet space on the left, and right hand side of the bars to preserve scan-ability. When this barcode is printed on white label paper barrier bars are only required at the top, and bottom of the barcode. For additional information visit the GS1 website at</w:t>
      </w:r>
      <w:r>
        <w:rPr>
          <w:rFonts w:ascii="Arial" w:eastAsia="Times New Roman" w:hAnsi="Arial" w:cs="Arial"/>
        </w:rPr>
        <w:t xml:space="preserve"> </w:t>
      </w:r>
      <w:hyperlink r:id="rId22" w:history="1">
        <w:r w:rsidRPr="00F83872">
          <w:rPr>
            <w:rStyle w:val="Hyperlink"/>
            <w:rFonts w:ascii="Arial" w:eastAsia="Times New Roman" w:hAnsi="Arial" w:cs="Arial"/>
          </w:rPr>
          <w:t>http://www.gs1.org/</w:t>
        </w:r>
      </w:hyperlink>
    </w:p>
    <w:p w:rsidR="00B80C3B" w:rsidRDefault="00B80C3B" w:rsidP="005341F7">
      <w:pPr>
        <w:pStyle w:val="NoSpacing"/>
        <w:numPr>
          <w:ilvl w:val="2"/>
          <w:numId w:val="11"/>
        </w:numPr>
        <w:rPr>
          <w:rFonts w:ascii="Arial" w:eastAsia="Times New Roman" w:hAnsi="Arial" w:cs="Arial"/>
        </w:rPr>
      </w:pPr>
      <w:r w:rsidRPr="00B80C3B">
        <w:rPr>
          <w:rFonts w:ascii="Arial" w:eastAsia="Times New Roman" w:hAnsi="Arial" w:cs="Arial"/>
        </w:rPr>
        <w:t>Can only be used when cartons are shipped on a stretch-wrapped pallet and the pallet has a</w:t>
      </w:r>
      <w:r>
        <w:rPr>
          <w:rFonts w:ascii="Arial" w:eastAsia="Times New Roman" w:hAnsi="Arial" w:cs="Arial"/>
        </w:rPr>
        <w:t xml:space="preserve"> </w:t>
      </w:r>
      <w:r w:rsidRPr="00B80C3B">
        <w:rPr>
          <w:rFonts w:ascii="Arial" w:eastAsia="Times New Roman" w:hAnsi="Arial" w:cs="Arial"/>
        </w:rPr>
        <w:t>SSCC-18/UCC128 barcode label.</w:t>
      </w:r>
    </w:p>
    <w:p w:rsidR="00903A47" w:rsidRPr="00903A47" w:rsidRDefault="00B80C3B" w:rsidP="00903A47">
      <w:pPr>
        <w:pStyle w:val="NoSpacing"/>
        <w:numPr>
          <w:ilvl w:val="2"/>
          <w:numId w:val="11"/>
        </w:numPr>
        <w:rPr>
          <w:rFonts w:ascii="Arial" w:eastAsia="Times New Roman" w:hAnsi="Arial" w:cs="Arial"/>
        </w:rPr>
      </w:pPr>
      <w:r w:rsidRPr="00625CD6">
        <w:rPr>
          <w:rFonts w:ascii="Arial" w:eastAsia="Times New Roman" w:hAnsi="Arial" w:cs="Arial"/>
        </w:rPr>
        <w:t xml:space="preserve">All human readable information and the GTIN-14 must appear on 2 adjacent sides when printed on the carton. </w:t>
      </w:r>
    </w:p>
    <w:p w:rsidR="00903A47" w:rsidRDefault="00903A47" w:rsidP="00903A47">
      <w:pPr>
        <w:pStyle w:val="NoSpacing"/>
        <w:ind w:left="1224"/>
        <w:rPr>
          <w:rFonts w:ascii="Arial" w:eastAsia="Times New Roman" w:hAnsi="Arial" w:cs="Arial"/>
        </w:rPr>
      </w:pPr>
    </w:p>
    <w:p w:rsidR="00903A47" w:rsidRDefault="00903A47" w:rsidP="00903A47">
      <w:pPr>
        <w:pStyle w:val="NoSpacing"/>
        <w:jc w:val="center"/>
        <w:rPr>
          <w:rFonts w:ascii="Arial" w:eastAsia="Times New Roman" w:hAnsi="Arial" w:cs="Arial"/>
        </w:rPr>
      </w:pPr>
      <w:r>
        <w:rPr>
          <w:noProof/>
        </w:rPr>
        <w:lastRenderedPageBreak/>
        <w:drawing>
          <wp:inline distT="0" distB="0" distL="0" distR="0" wp14:anchorId="4E28AEAC" wp14:editId="09C1DC2C">
            <wp:extent cx="3700732" cy="3054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01513" cy="3054935"/>
                    </a:xfrm>
                    <a:prstGeom prst="rect">
                      <a:avLst/>
                    </a:prstGeom>
                  </pic:spPr>
                </pic:pic>
              </a:graphicData>
            </a:graphic>
          </wp:inline>
        </w:drawing>
      </w:r>
    </w:p>
    <w:p w:rsidR="00903A47" w:rsidRDefault="00903A47" w:rsidP="00903A47">
      <w:pPr>
        <w:pStyle w:val="NoSpacing"/>
        <w:jc w:val="center"/>
        <w:rPr>
          <w:rFonts w:ascii="Arial" w:eastAsia="Times New Roman" w:hAnsi="Arial" w:cs="Arial"/>
        </w:rPr>
      </w:pPr>
    </w:p>
    <w:p w:rsidR="00903A47" w:rsidRDefault="00903A47" w:rsidP="00903A47">
      <w:pPr>
        <w:pStyle w:val="NoSpacing"/>
        <w:jc w:val="center"/>
        <w:rPr>
          <w:rFonts w:ascii="Arial" w:eastAsia="Times New Roman" w:hAnsi="Arial" w:cs="Arial"/>
        </w:rPr>
      </w:pPr>
      <w:r>
        <w:rPr>
          <w:rFonts w:ascii="Arial" w:eastAsia="Times New Roman" w:hAnsi="Arial" w:cs="Arial"/>
          <w:noProof/>
        </w:rPr>
        <w:drawing>
          <wp:inline distT="0" distB="0" distL="0" distR="0" wp14:anchorId="11563CDD" wp14:editId="3469B165">
            <wp:extent cx="5641675" cy="287232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675" cy="2872325"/>
                    </a:xfrm>
                    <a:prstGeom prst="rect">
                      <a:avLst/>
                    </a:prstGeom>
                    <a:noFill/>
                    <a:ln>
                      <a:noFill/>
                    </a:ln>
                  </pic:spPr>
                </pic:pic>
              </a:graphicData>
            </a:graphic>
          </wp:inline>
        </w:drawing>
      </w:r>
    </w:p>
    <w:p w:rsidR="00903A47" w:rsidRDefault="00903A47" w:rsidP="00903A47">
      <w:pPr>
        <w:pStyle w:val="NoSpacing"/>
        <w:ind w:left="1224"/>
        <w:rPr>
          <w:rFonts w:ascii="Arial" w:eastAsia="Times New Roman" w:hAnsi="Arial" w:cs="Arial"/>
        </w:rPr>
      </w:pPr>
    </w:p>
    <w:p w:rsidR="00903A47" w:rsidRPr="00903A47" w:rsidRDefault="00903A47" w:rsidP="00903A47">
      <w:pPr>
        <w:pStyle w:val="NoSpacing"/>
        <w:numPr>
          <w:ilvl w:val="2"/>
          <w:numId w:val="11"/>
        </w:numPr>
        <w:rPr>
          <w:rFonts w:ascii="Arial" w:eastAsia="Times New Roman" w:hAnsi="Arial" w:cs="Arial"/>
        </w:rPr>
      </w:pPr>
      <w:r w:rsidRPr="00B80C3B">
        <w:rPr>
          <w:rFonts w:ascii="Arial" w:eastAsia="Times New Roman" w:hAnsi="Arial" w:cs="Arial"/>
        </w:rPr>
        <w:t>For ITF-14 barcodes printed directly on corrugate cardboard th</w:t>
      </w:r>
      <w:r>
        <w:rPr>
          <w:rFonts w:ascii="Arial" w:eastAsia="Times New Roman" w:hAnsi="Arial" w:cs="Arial"/>
        </w:rPr>
        <w:t>e minimum size requirements are:</w:t>
      </w:r>
    </w:p>
    <w:p w:rsidR="00903A47" w:rsidRDefault="00903A47" w:rsidP="00903A47">
      <w:pPr>
        <w:pStyle w:val="NoSpacing"/>
        <w:ind w:left="720"/>
        <w:rPr>
          <w:rFonts w:ascii="Arial" w:eastAsia="Times New Roman" w:hAnsi="Arial" w:cs="Arial"/>
        </w:rPr>
      </w:pPr>
    </w:p>
    <w:tbl>
      <w:tblPr>
        <w:tblW w:w="6340" w:type="dxa"/>
        <w:jc w:val="center"/>
        <w:tblInd w:w="93" w:type="dxa"/>
        <w:tblLook w:val="04A0" w:firstRow="1" w:lastRow="0" w:firstColumn="1" w:lastColumn="0" w:noHBand="0" w:noVBand="1"/>
      </w:tblPr>
      <w:tblGrid>
        <w:gridCol w:w="1780"/>
        <w:gridCol w:w="4560"/>
      </w:tblGrid>
      <w:tr w:rsidR="00903A47" w:rsidRPr="00B80C3B" w:rsidTr="00C615C5">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 </w:t>
            </w:r>
          </w:p>
        </w:tc>
        <w:tc>
          <w:tcPr>
            <w:tcW w:w="4560" w:type="dxa"/>
            <w:tcBorders>
              <w:top w:val="single" w:sz="4" w:space="0" w:color="auto"/>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GS1 Standard Range</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Narrow Bar</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From 19.5 to 40 mil (.0195" to .04")</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lastRenderedPageBreak/>
              <w:t xml:space="preserve">Wide Bar </w:t>
            </w:r>
          </w:p>
        </w:tc>
        <w:tc>
          <w:tcPr>
            <w:tcW w:w="4560" w:type="dxa"/>
            <w:tcBorders>
              <w:top w:val="nil"/>
              <w:left w:val="nil"/>
              <w:bottom w:val="single" w:sz="4" w:space="0" w:color="auto"/>
              <w:right w:val="single" w:sz="4" w:space="0" w:color="auto"/>
            </w:tcBorders>
            <w:shd w:val="clear" w:color="auto" w:fill="auto"/>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2.5 times the width of the narrow bar</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Quiet Zone</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10X the narrow bar width</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 xml:space="preserve">Total Height </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1.25"</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ANSI Print Quality</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ANSI “C”</w:t>
            </w:r>
          </w:p>
        </w:tc>
      </w:tr>
      <w:tr w:rsidR="00903A47" w:rsidRPr="00B80C3B" w:rsidTr="00C615C5">
        <w:trPr>
          <w:trHeight w:val="293"/>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Print Method</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Various</w:t>
            </w:r>
          </w:p>
        </w:tc>
      </w:tr>
    </w:tbl>
    <w:p w:rsidR="00903A47" w:rsidRDefault="00903A47" w:rsidP="00903A47">
      <w:pPr>
        <w:pStyle w:val="NoSpacing"/>
        <w:rPr>
          <w:rFonts w:ascii="Arial" w:eastAsia="Times New Roman" w:hAnsi="Arial" w:cs="Arial"/>
        </w:rPr>
      </w:pPr>
    </w:p>
    <w:p w:rsidR="00903A47" w:rsidRDefault="00903A47" w:rsidP="00903A47">
      <w:pPr>
        <w:pStyle w:val="NoSpacing"/>
        <w:numPr>
          <w:ilvl w:val="2"/>
          <w:numId w:val="11"/>
        </w:numPr>
        <w:rPr>
          <w:rFonts w:ascii="Arial" w:eastAsia="Times New Roman" w:hAnsi="Arial" w:cs="Arial"/>
          <w:noProof/>
        </w:rPr>
      </w:pPr>
      <w:r w:rsidRPr="00B80C3B">
        <w:rPr>
          <w:rFonts w:ascii="Arial" w:hAnsi="Arial" w:cs="Arial"/>
        </w:rPr>
        <w:t>For ITF-14 barcodes printed black on a white background the minimum size requirements are:</w:t>
      </w:r>
      <w:r>
        <w:rPr>
          <w:rFonts w:ascii="Arial" w:eastAsia="Times New Roman" w:hAnsi="Arial" w:cs="Arial"/>
          <w:noProof/>
        </w:rPr>
        <w:t xml:space="preserve"> </w:t>
      </w:r>
    </w:p>
    <w:tbl>
      <w:tblPr>
        <w:tblW w:w="6340" w:type="dxa"/>
        <w:jc w:val="center"/>
        <w:tblInd w:w="93" w:type="dxa"/>
        <w:tblLook w:val="04A0" w:firstRow="1" w:lastRow="0" w:firstColumn="1" w:lastColumn="0" w:noHBand="0" w:noVBand="1"/>
      </w:tblPr>
      <w:tblGrid>
        <w:gridCol w:w="1780"/>
        <w:gridCol w:w="4560"/>
      </w:tblGrid>
      <w:tr w:rsidR="00903A47" w:rsidRPr="00B80C3B" w:rsidTr="00C615C5">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 </w:t>
            </w:r>
          </w:p>
        </w:tc>
        <w:tc>
          <w:tcPr>
            <w:tcW w:w="4560" w:type="dxa"/>
            <w:tcBorders>
              <w:top w:val="single" w:sz="4" w:space="0" w:color="auto"/>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GS1 Standard Range</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Narrow Bar</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From 24 to 40 mil (.024" to .04")</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 xml:space="preserve">Wide Bar </w:t>
            </w:r>
          </w:p>
        </w:tc>
        <w:tc>
          <w:tcPr>
            <w:tcW w:w="4560" w:type="dxa"/>
            <w:tcBorders>
              <w:top w:val="nil"/>
              <w:left w:val="nil"/>
              <w:bottom w:val="single" w:sz="4" w:space="0" w:color="auto"/>
              <w:right w:val="single" w:sz="4" w:space="0" w:color="auto"/>
            </w:tcBorders>
            <w:shd w:val="clear" w:color="auto" w:fill="auto"/>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2.5 times the width of the narrow bar</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Quiet Zone</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10X the narrow bar width</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 xml:space="preserve">Total Height </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1.00"</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ANSI Print Quality</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ANSI “C”</w:t>
            </w:r>
          </w:p>
        </w:tc>
      </w:tr>
      <w:tr w:rsidR="00903A47" w:rsidRPr="00B80C3B" w:rsidTr="00C615C5">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Print Method</w:t>
            </w:r>
          </w:p>
        </w:tc>
        <w:tc>
          <w:tcPr>
            <w:tcW w:w="4560" w:type="dxa"/>
            <w:tcBorders>
              <w:top w:val="nil"/>
              <w:left w:val="nil"/>
              <w:bottom w:val="single" w:sz="4" w:space="0" w:color="auto"/>
              <w:right w:val="single" w:sz="4" w:space="0" w:color="auto"/>
            </w:tcBorders>
            <w:shd w:val="clear" w:color="auto" w:fill="auto"/>
            <w:noWrap/>
            <w:vAlign w:val="bottom"/>
            <w:hideMark/>
          </w:tcPr>
          <w:p w:rsidR="00903A47" w:rsidRPr="00B80C3B" w:rsidRDefault="00903A47" w:rsidP="00C615C5">
            <w:pPr>
              <w:rPr>
                <w:rFonts w:ascii="Calibri" w:hAnsi="Calibri" w:cs="Calibri"/>
                <w:color w:val="000000"/>
                <w:sz w:val="22"/>
                <w:szCs w:val="22"/>
              </w:rPr>
            </w:pPr>
            <w:r w:rsidRPr="00B80C3B">
              <w:rPr>
                <w:rFonts w:ascii="Calibri" w:hAnsi="Calibri" w:cs="Calibri"/>
                <w:color w:val="000000"/>
                <w:sz w:val="22"/>
                <w:szCs w:val="22"/>
              </w:rPr>
              <w:t>Thermal Transfer</w:t>
            </w:r>
          </w:p>
        </w:tc>
      </w:tr>
    </w:tbl>
    <w:p w:rsidR="00903A47" w:rsidRDefault="00903A47" w:rsidP="00903A47">
      <w:pPr>
        <w:pStyle w:val="NoSpacing"/>
        <w:rPr>
          <w:rFonts w:ascii="Arial" w:eastAsia="Times New Roman" w:hAnsi="Arial" w:cs="Arial"/>
          <w:noProof/>
        </w:rPr>
      </w:pPr>
      <w:r>
        <w:rPr>
          <w:noProof/>
        </w:rPr>
        <w:drawing>
          <wp:inline distT="0" distB="0" distL="0" distR="0" wp14:anchorId="6544E37C" wp14:editId="1ED80489">
            <wp:extent cx="5943600" cy="2845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45435"/>
                    </a:xfrm>
                    <a:prstGeom prst="rect">
                      <a:avLst/>
                    </a:prstGeom>
                  </pic:spPr>
                </pic:pic>
              </a:graphicData>
            </a:graphic>
          </wp:inline>
        </w:drawing>
      </w:r>
    </w:p>
    <w:p w:rsidR="00903A47" w:rsidRDefault="00903A47" w:rsidP="00903A47">
      <w:pPr>
        <w:pStyle w:val="NoSpacing"/>
        <w:ind w:left="1224"/>
        <w:rPr>
          <w:rFonts w:ascii="Arial" w:eastAsia="Times New Roman" w:hAnsi="Arial" w:cs="Arial"/>
          <w:noProof/>
        </w:rPr>
      </w:pPr>
    </w:p>
    <w:p w:rsidR="00903A47" w:rsidRDefault="00903A47" w:rsidP="00625CD6">
      <w:pPr>
        <w:pStyle w:val="NoSpacing"/>
        <w:numPr>
          <w:ilvl w:val="2"/>
          <w:numId w:val="11"/>
        </w:numPr>
        <w:rPr>
          <w:rFonts w:ascii="Arial" w:hAnsi="Arial" w:cs="Arial"/>
        </w:rPr>
      </w:pPr>
      <w:r w:rsidRPr="00903A47">
        <w:rPr>
          <w:rFonts w:ascii="Arial" w:hAnsi="Arial" w:cs="Arial"/>
        </w:rPr>
        <w:t>Barrier bars will ensure the quality of each scan of the barcode as it helps the scanner to read and interpret the barcode.</w:t>
      </w:r>
    </w:p>
    <w:p w:rsidR="00903A47" w:rsidRDefault="00903A47" w:rsidP="00903A47">
      <w:pPr>
        <w:pStyle w:val="NoSpacing"/>
        <w:ind w:left="1224"/>
        <w:rPr>
          <w:rFonts w:ascii="Arial" w:hAnsi="Arial" w:cs="Arial"/>
        </w:rPr>
      </w:pPr>
    </w:p>
    <w:p w:rsidR="00903A47" w:rsidRDefault="00903A47" w:rsidP="00903A47">
      <w:pPr>
        <w:pStyle w:val="NoSpacing"/>
        <w:ind w:left="1224"/>
        <w:rPr>
          <w:rFonts w:ascii="Arial" w:hAnsi="Arial" w:cs="Arial"/>
        </w:rPr>
      </w:pPr>
    </w:p>
    <w:p w:rsidR="00903A47" w:rsidRDefault="00903A47" w:rsidP="00903A47">
      <w:pPr>
        <w:pStyle w:val="NoSpacing"/>
        <w:rPr>
          <w:rFonts w:ascii="Arial" w:hAnsi="Arial" w:cs="Arial"/>
        </w:rPr>
      </w:pPr>
      <w:r w:rsidRPr="00625CD6">
        <w:rPr>
          <w:noProof/>
        </w:rPr>
        <w:lastRenderedPageBreak/>
        <w:drawing>
          <wp:inline distT="0" distB="0" distL="0" distR="0" wp14:anchorId="0A99689E" wp14:editId="3A4F1E16">
            <wp:extent cx="5943600" cy="3537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37585"/>
                    </a:xfrm>
                    <a:prstGeom prst="rect">
                      <a:avLst/>
                    </a:prstGeom>
                  </pic:spPr>
                </pic:pic>
              </a:graphicData>
            </a:graphic>
          </wp:inline>
        </w:drawing>
      </w:r>
    </w:p>
    <w:p w:rsidR="00B80C3B" w:rsidRDefault="00B80C3B" w:rsidP="00903A47">
      <w:pPr>
        <w:pStyle w:val="NoSpacing"/>
        <w:numPr>
          <w:ilvl w:val="2"/>
          <w:numId w:val="11"/>
        </w:numPr>
        <w:rPr>
          <w:rFonts w:ascii="Arial" w:hAnsi="Arial" w:cs="Arial"/>
        </w:rPr>
      </w:pPr>
      <w:r w:rsidRPr="00903A47">
        <w:rPr>
          <w:rFonts w:ascii="Arial" w:hAnsi="Arial" w:cs="Arial"/>
        </w:rPr>
        <w:t>ITF-14/I2of5 versus UPC-A – An ITF-14/I2of5 barcode should NOT be used in cases where the secondary package is also the retail (UPC and ITF-14/I2of5 barcode CANNOT be on the same carton). IFT-14/I2of5 barcodes will not be printed on case packs of one (1).</w:t>
      </w:r>
    </w:p>
    <w:p w:rsidR="005341F7" w:rsidRDefault="00B80C3B" w:rsidP="00903A47">
      <w:pPr>
        <w:pStyle w:val="NoSpacing"/>
        <w:numPr>
          <w:ilvl w:val="2"/>
          <w:numId w:val="11"/>
        </w:numPr>
        <w:rPr>
          <w:rFonts w:ascii="Arial" w:hAnsi="Arial" w:cs="Arial"/>
        </w:rPr>
      </w:pPr>
      <w:r w:rsidRPr="00903A47">
        <w:rPr>
          <w:rFonts w:ascii="Arial" w:hAnsi="Arial" w:cs="Arial"/>
        </w:rPr>
        <w:t>UPC-A versus ITF-14/I2of5 – Individual product UPC should NOT appear on the master car</w:t>
      </w:r>
      <w:r w:rsidR="005341F7" w:rsidRPr="00903A47">
        <w:rPr>
          <w:rFonts w:ascii="Arial" w:hAnsi="Arial" w:cs="Arial"/>
        </w:rPr>
        <w:t>ton or</w:t>
      </w:r>
      <w:r w:rsidRPr="00903A47">
        <w:rPr>
          <w:rFonts w:ascii="Arial" w:hAnsi="Arial" w:cs="Arial"/>
        </w:rPr>
        <w:t xml:space="preserve"> be visible through the master carton.</w:t>
      </w:r>
    </w:p>
    <w:p w:rsidR="00903A47" w:rsidRDefault="00903A47" w:rsidP="00903A47">
      <w:pPr>
        <w:pStyle w:val="NoSpacing"/>
        <w:numPr>
          <w:ilvl w:val="0"/>
          <w:numId w:val="11"/>
        </w:numPr>
        <w:rPr>
          <w:rFonts w:ascii="Arial" w:hAnsi="Arial" w:cs="Arial"/>
        </w:rPr>
      </w:pPr>
      <w:r>
        <w:rPr>
          <w:rFonts w:ascii="Arial" w:hAnsi="Arial" w:cs="Arial"/>
        </w:rPr>
        <w:t>Master Carton</w:t>
      </w:r>
    </w:p>
    <w:p w:rsidR="00903A47" w:rsidRDefault="00903A47" w:rsidP="00903A47">
      <w:pPr>
        <w:pStyle w:val="NoSpacing"/>
        <w:numPr>
          <w:ilvl w:val="1"/>
          <w:numId w:val="11"/>
        </w:numPr>
        <w:rPr>
          <w:rFonts w:ascii="Arial" w:hAnsi="Arial" w:cs="Arial"/>
        </w:rPr>
      </w:pPr>
      <w:r>
        <w:rPr>
          <w:rFonts w:ascii="Arial" w:hAnsi="Arial" w:cs="Arial"/>
        </w:rPr>
        <w:t xml:space="preserve">Master cartons require the Allegion Logo in the lower right corner.  </w:t>
      </w:r>
    </w:p>
    <w:p w:rsidR="00903A47" w:rsidRDefault="00903A47" w:rsidP="00903A47">
      <w:pPr>
        <w:pStyle w:val="NoSpacing"/>
        <w:numPr>
          <w:ilvl w:val="1"/>
          <w:numId w:val="11"/>
        </w:numPr>
        <w:rPr>
          <w:rFonts w:ascii="Arial" w:hAnsi="Arial" w:cs="Arial"/>
        </w:rPr>
      </w:pPr>
      <w:r>
        <w:rPr>
          <w:rFonts w:ascii="Arial" w:hAnsi="Arial" w:cs="Arial"/>
        </w:rPr>
        <w:t>A master carton should be printed in one color.</w:t>
      </w:r>
    </w:p>
    <w:p w:rsidR="00215AE9" w:rsidRDefault="00903A47" w:rsidP="00215AE9">
      <w:pPr>
        <w:pStyle w:val="NoSpacing"/>
        <w:numPr>
          <w:ilvl w:val="1"/>
          <w:numId w:val="11"/>
        </w:numPr>
        <w:rPr>
          <w:rFonts w:ascii="Arial" w:hAnsi="Arial" w:cs="Arial"/>
        </w:rPr>
      </w:pPr>
      <w:r>
        <w:rPr>
          <w:rFonts w:ascii="Arial" w:hAnsi="Arial" w:cs="Arial"/>
        </w:rPr>
        <w:t xml:space="preserve">Allegion Orange (GCMI 80) </w:t>
      </w:r>
      <w:r w:rsidR="00215AE9">
        <w:rPr>
          <w:rFonts w:ascii="Arial" w:hAnsi="Arial" w:cs="Arial"/>
        </w:rPr>
        <w:t>and Allegion Gray (GC</w:t>
      </w:r>
      <w:r>
        <w:rPr>
          <w:rFonts w:ascii="Arial" w:hAnsi="Arial" w:cs="Arial"/>
        </w:rPr>
        <w:t xml:space="preserve">MI 9002) are both acceptable </w:t>
      </w:r>
      <w:proofErr w:type="spellStart"/>
      <w:r>
        <w:rPr>
          <w:rFonts w:ascii="Arial" w:hAnsi="Arial" w:cs="Arial"/>
        </w:rPr>
        <w:t>colorways</w:t>
      </w:r>
      <w:proofErr w:type="spellEnd"/>
      <w:r>
        <w:rPr>
          <w:rFonts w:ascii="Arial" w:hAnsi="Arial" w:cs="Arial"/>
        </w:rPr>
        <w:t xml:space="preserve"> for a master carton. </w:t>
      </w:r>
    </w:p>
    <w:p w:rsidR="00215AE9" w:rsidRDefault="00215AE9" w:rsidP="00215AE9">
      <w:pPr>
        <w:pStyle w:val="NoSpacing"/>
        <w:ind w:left="360"/>
        <w:rPr>
          <w:rFonts w:ascii="Arial" w:hAnsi="Arial" w:cs="Arial"/>
        </w:rPr>
      </w:pPr>
      <w:r>
        <w:rPr>
          <w:noProof/>
        </w:rPr>
        <w:lastRenderedPageBreak/>
        <w:drawing>
          <wp:inline distT="0" distB="0" distL="0" distR="0" wp14:anchorId="3EB40EF6" wp14:editId="1CAED946">
            <wp:extent cx="5831457" cy="4390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87"/>
                    <a:stretch/>
                  </pic:blipFill>
                  <pic:spPr bwMode="auto">
                    <a:xfrm>
                      <a:off x="0" y="0"/>
                      <a:ext cx="5831457" cy="4390390"/>
                    </a:xfrm>
                    <a:prstGeom prst="rect">
                      <a:avLst/>
                    </a:prstGeom>
                    <a:ln>
                      <a:noFill/>
                    </a:ln>
                    <a:extLst>
                      <a:ext uri="{53640926-AAD7-44D8-BBD7-CCE9431645EC}">
                        <a14:shadowObscured xmlns:a14="http://schemas.microsoft.com/office/drawing/2010/main"/>
                      </a:ext>
                    </a:extLst>
                  </pic:spPr>
                </pic:pic>
              </a:graphicData>
            </a:graphic>
          </wp:inline>
        </w:drawing>
      </w:r>
    </w:p>
    <w:p w:rsidR="00215AE9" w:rsidRDefault="00215AE9" w:rsidP="00215AE9">
      <w:pPr>
        <w:pStyle w:val="NoSpacing"/>
        <w:numPr>
          <w:ilvl w:val="1"/>
          <w:numId w:val="11"/>
        </w:numPr>
        <w:rPr>
          <w:rFonts w:ascii="Arial" w:hAnsi="Arial" w:cs="Arial"/>
        </w:rPr>
      </w:pPr>
      <w:proofErr w:type="spellStart"/>
      <w:r>
        <w:rPr>
          <w:rFonts w:ascii="Arial" w:hAnsi="Arial" w:cs="Arial"/>
        </w:rPr>
        <w:t>Mastor</w:t>
      </w:r>
      <w:proofErr w:type="spellEnd"/>
      <w:r>
        <w:rPr>
          <w:rFonts w:ascii="Arial" w:hAnsi="Arial" w:cs="Arial"/>
        </w:rPr>
        <w:t xml:space="preserve"> Carton Layout</w:t>
      </w:r>
    </w:p>
    <w:p w:rsidR="00215AE9" w:rsidRDefault="00215AE9" w:rsidP="00215AE9">
      <w:pPr>
        <w:pStyle w:val="NoSpacing"/>
        <w:numPr>
          <w:ilvl w:val="2"/>
          <w:numId w:val="11"/>
        </w:numPr>
        <w:rPr>
          <w:rFonts w:ascii="Arial" w:hAnsi="Arial" w:cs="Arial"/>
        </w:rPr>
      </w:pPr>
      <w:r>
        <w:rPr>
          <w:rFonts w:ascii="Arial" w:hAnsi="Arial" w:cs="Arial"/>
        </w:rPr>
        <w:t xml:space="preserve">The block should be placed on the upper left, on the widest sides of the box. </w:t>
      </w:r>
    </w:p>
    <w:p w:rsidR="00215AE9" w:rsidRDefault="00215AE9" w:rsidP="00215AE9">
      <w:pPr>
        <w:pStyle w:val="NoSpacing"/>
        <w:numPr>
          <w:ilvl w:val="2"/>
          <w:numId w:val="11"/>
        </w:numPr>
        <w:rPr>
          <w:rFonts w:ascii="Arial" w:hAnsi="Arial" w:cs="Arial"/>
        </w:rPr>
      </w:pPr>
      <w:r>
        <w:rPr>
          <w:rFonts w:ascii="Arial" w:hAnsi="Arial" w:cs="Arial"/>
        </w:rPr>
        <w:t xml:space="preserve">Standard format block sizing: </w:t>
      </w:r>
    </w:p>
    <w:p w:rsidR="00215AE9" w:rsidRDefault="00215AE9" w:rsidP="00215AE9">
      <w:pPr>
        <w:pStyle w:val="NoSpacing"/>
        <w:numPr>
          <w:ilvl w:val="3"/>
          <w:numId w:val="11"/>
        </w:numPr>
        <w:rPr>
          <w:rFonts w:ascii="Arial" w:hAnsi="Arial" w:cs="Arial"/>
        </w:rPr>
      </w:pPr>
      <w:r>
        <w:rPr>
          <w:rFonts w:ascii="Arial" w:hAnsi="Arial" w:cs="Arial"/>
        </w:rPr>
        <w:t xml:space="preserve">Take the box dimensions, divide in quarters, allow for margins show in the below drawings. </w:t>
      </w:r>
    </w:p>
    <w:p w:rsidR="00215AE9" w:rsidRDefault="00215AE9" w:rsidP="00215AE9">
      <w:pPr>
        <w:pStyle w:val="NoSpacing"/>
        <w:numPr>
          <w:ilvl w:val="3"/>
          <w:numId w:val="11"/>
        </w:numPr>
        <w:rPr>
          <w:rFonts w:ascii="Arial" w:hAnsi="Arial" w:cs="Arial"/>
        </w:rPr>
      </w:pPr>
      <w:r>
        <w:rPr>
          <w:rFonts w:ascii="Arial" w:hAnsi="Arial" w:cs="Arial"/>
        </w:rPr>
        <w:t xml:space="preserve">Use the shorter dimension of the upper left quarter of the box – that will be the size of the block </w:t>
      </w:r>
      <w:r>
        <w:rPr>
          <w:rFonts w:ascii="Arial" w:hAnsi="Arial" w:cs="Arial"/>
        </w:rPr>
        <w:br/>
      </w:r>
    </w:p>
    <w:p w:rsidR="00215AE9" w:rsidRDefault="00215AE9" w:rsidP="00215AE9">
      <w:pPr>
        <w:pStyle w:val="NoSpacing"/>
        <w:ind w:left="1728"/>
        <w:rPr>
          <w:rFonts w:ascii="Arial" w:hAnsi="Arial" w:cs="Arial"/>
        </w:rPr>
      </w:pPr>
    </w:p>
    <w:p w:rsidR="00215AE9" w:rsidRDefault="00215AE9" w:rsidP="00215AE9">
      <w:pPr>
        <w:pStyle w:val="NoSpacing"/>
        <w:rPr>
          <w:rFonts w:ascii="Arial" w:hAnsi="Arial" w:cs="Arial"/>
        </w:rPr>
      </w:pPr>
      <w:r>
        <w:rPr>
          <w:noProof/>
        </w:rPr>
        <w:lastRenderedPageBreak/>
        <w:drawing>
          <wp:inline distT="0" distB="0" distL="0" distR="0" wp14:anchorId="66C0EBDC" wp14:editId="122537E2">
            <wp:extent cx="5943600" cy="2931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931795"/>
                    </a:xfrm>
                    <a:prstGeom prst="rect">
                      <a:avLst/>
                    </a:prstGeom>
                  </pic:spPr>
                </pic:pic>
              </a:graphicData>
            </a:graphic>
          </wp:inline>
        </w:drawing>
      </w:r>
    </w:p>
    <w:p w:rsidR="00215AE9" w:rsidRDefault="00215AE9" w:rsidP="00215AE9">
      <w:pPr>
        <w:pStyle w:val="NoSpacing"/>
        <w:numPr>
          <w:ilvl w:val="2"/>
          <w:numId w:val="11"/>
        </w:numPr>
        <w:rPr>
          <w:rFonts w:ascii="Arial" w:hAnsi="Arial" w:cs="Arial"/>
        </w:rPr>
      </w:pPr>
      <w:r>
        <w:rPr>
          <w:rFonts w:ascii="Arial" w:hAnsi="Arial" w:cs="Arial"/>
        </w:rPr>
        <w:t xml:space="preserve">Horizontal and </w:t>
      </w:r>
      <w:proofErr w:type="spellStart"/>
      <w:r>
        <w:rPr>
          <w:rFonts w:ascii="Arial" w:hAnsi="Arial" w:cs="Arial"/>
        </w:rPr>
        <w:t>verticle</w:t>
      </w:r>
      <w:proofErr w:type="spellEnd"/>
      <w:r>
        <w:rPr>
          <w:rFonts w:ascii="Arial" w:hAnsi="Arial" w:cs="Arial"/>
        </w:rPr>
        <w:t xml:space="preserve"> format: For boxes that have an extreme horizontal or vertical shape, follow these instructions:</w:t>
      </w:r>
    </w:p>
    <w:p w:rsidR="00215AE9" w:rsidRDefault="00215AE9" w:rsidP="00215AE9">
      <w:pPr>
        <w:pStyle w:val="NoSpacing"/>
        <w:numPr>
          <w:ilvl w:val="3"/>
          <w:numId w:val="11"/>
        </w:numPr>
        <w:rPr>
          <w:rFonts w:ascii="Arial" w:hAnsi="Arial" w:cs="Arial"/>
        </w:rPr>
      </w:pPr>
      <w:r>
        <w:rPr>
          <w:rFonts w:ascii="Arial" w:hAnsi="Arial" w:cs="Arial"/>
        </w:rPr>
        <w:t>Use the shorter dimension of the top (</w:t>
      </w:r>
      <w:proofErr w:type="spellStart"/>
      <w:r>
        <w:rPr>
          <w:rFonts w:ascii="Arial" w:hAnsi="Arial" w:cs="Arial"/>
        </w:rPr>
        <w:t>verticle</w:t>
      </w:r>
      <w:proofErr w:type="spellEnd"/>
      <w:r>
        <w:rPr>
          <w:rFonts w:ascii="Arial" w:hAnsi="Arial" w:cs="Arial"/>
        </w:rPr>
        <w:t xml:space="preserve"> layouts) or left (horizontal layouts to size the block.  Allow for margins as shown on the right. </w:t>
      </w:r>
    </w:p>
    <w:p w:rsidR="00215AE9" w:rsidRDefault="00215AE9" w:rsidP="00215AE9">
      <w:pPr>
        <w:pStyle w:val="NoSpacing"/>
        <w:rPr>
          <w:rFonts w:ascii="Arial" w:hAnsi="Arial" w:cs="Arial"/>
        </w:rPr>
      </w:pPr>
      <w:r>
        <w:rPr>
          <w:noProof/>
        </w:rPr>
        <w:drawing>
          <wp:inline distT="0" distB="0" distL="0" distR="0" wp14:anchorId="51C1C7F9" wp14:editId="12217AC5">
            <wp:extent cx="5943600" cy="2927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27350"/>
                    </a:xfrm>
                    <a:prstGeom prst="rect">
                      <a:avLst/>
                    </a:prstGeom>
                  </pic:spPr>
                </pic:pic>
              </a:graphicData>
            </a:graphic>
          </wp:inline>
        </w:drawing>
      </w:r>
    </w:p>
    <w:p w:rsidR="00215AE9" w:rsidRDefault="00215AE9" w:rsidP="00215AE9">
      <w:pPr>
        <w:pStyle w:val="NoSpacing"/>
        <w:numPr>
          <w:ilvl w:val="1"/>
          <w:numId w:val="11"/>
        </w:numPr>
        <w:rPr>
          <w:rFonts w:ascii="Arial" w:hAnsi="Arial" w:cs="Arial"/>
        </w:rPr>
      </w:pPr>
      <w:r>
        <w:rPr>
          <w:rFonts w:ascii="Arial" w:hAnsi="Arial" w:cs="Arial"/>
        </w:rPr>
        <w:t xml:space="preserve">General Product Packages </w:t>
      </w:r>
    </w:p>
    <w:p w:rsidR="00215AE9" w:rsidRDefault="00215AE9" w:rsidP="00215AE9">
      <w:pPr>
        <w:pStyle w:val="NoSpacing"/>
        <w:numPr>
          <w:ilvl w:val="2"/>
          <w:numId w:val="11"/>
        </w:numPr>
        <w:rPr>
          <w:rFonts w:ascii="Arial" w:hAnsi="Arial" w:cs="Arial"/>
        </w:rPr>
      </w:pPr>
      <w:r>
        <w:rPr>
          <w:rFonts w:ascii="Arial" w:hAnsi="Arial" w:cs="Arial"/>
        </w:rPr>
        <w:t xml:space="preserve">For product </w:t>
      </w:r>
      <w:proofErr w:type="spellStart"/>
      <w:r>
        <w:rPr>
          <w:rFonts w:ascii="Arial" w:hAnsi="Arial" w:cs="Arial"/>
        </w:rPr>
        <w:t>pagages</w:t>
      </w:r>
      <w:proofErr w:type="spellEnd"/>
      <w:r>
        <w:rPr>
          <w:rFonts w:ascii="Arial" w:hAnsi="Arial" w:cs="Arial"/>
        </w:rPr>
        <w:t xml:space="preserve"> that are used for general product types, use the following layout direction. </w:t>
      </w:r>
    </w:p>
    <w:p w:rsidR="00215AE9" w:rsidRDefault="00215AE9" w:rsidP="00215AE9">
      <w:pPr>
        <w:pStyle w:val="NoSpacing"/>
        <w:ind w:left="1224"/>
        <w:rPr>
          <w:rFonts w:ascii="Arial" w:hAnsi="Arial" w:cs="Arial"/>
        </w:rPr>
      </w:pPr>
    </w:p>
    <w:p w:rsidR="00215AE9" w:rsidRPr="00215AE9" w:rsidRDefault="00215AE9" w:rsidP="00215AE9">
      <w:pPr>
        <w:pStyle w:val="NoSpacing"/>
        <w:rPr>
          <w:rFonts w:ascii="Arial" w:hAnsi="Arial" w:cs="Arial"/>
        </w:rPr>
      </w:pPr>
      <w:r>
        <w:rPr>
          <w:noProof/>
        </w:rPr>
        <w:lastRenderedPageBreak/>
        <w:drawing>
          <wp:inline distT="0" distB="0" distL="0" distR="0" wp14:anchorId="05E8AF10" wp14:editId="4A90A65E">
            <wp:extent cx="5943600" cy="37833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83330"/>
                    </a:xfrm>
                    <a:prstGeom prst="rect">
                      <a:avLst/>
                    </a:prstGeom>
                  </pic:spPr>
                </pic:pic>
              </a:graphicData>
            </a:graphic>
          </wp:inline>
        </w:drawing>
      </w:r>
    </w:p>
    <w:p w:rsidR="00903A47" w:rsidRPr="00903A47" w:rsidRDefault="00903A47" w:rsidP="00903A47">
      <w:pPr>
        <w:pStyle w:val="NoSpacing"/>
        <w:ind w:left="792"/>
        <w:rPr>
          <w:rFonts w:ascii="Arial" w:hAnsi="Arial" w:cs="Arial"/>
        </w:rPr>
      </w:pPr>
    </w:p>
    <w:p w:rsidR="005341F7" w:rsidRDefault="005341F7" w:rsidP="005341F7">
      <w:pPr>
        <w:pStyle w:val="NoSpacing"/>
        <w:autoSpaceDE w:val="0"/>
        <w:autoSpaceDN w:val="0"/>
        <w:adjustRightInd w:val="0"/>
        <w:rPr>
          <w:rFonts w:ascii="Arial" w:hAnsi="Arial" w:cs="Arial"/>
        </w:rPr>
      </w:pPr>
    </w:p>
    <w:p w:rsidR="00903A47" w:rsidRDefault="00903A47" w:rsidP="005341F7">
      <w:pPr>
        <w:pStyle w:val="NoSpacing"/>
        <w:autoSpaceDE w:val="0"/>
        <w:autoSpaceDN w:val="0"/>
        <w:adjustRightInd w:val="0"/>
        <w:rPr>
          <w:rFonts w:ascii="Arial" w:hAnsi="Arial" w:cs="Arial"/>
        </w:rPr>
      </w:pPr>
    </w:p>
    <w:p w:rsidR="005341F7" w:rsidRPr="005341F7" w:rsidRDefault="005341F7" w:rsidP="005341F7">
      <w:pPr>
        <w:pStyle w:val="NoSpacing"/>
        <w:autoSpaceDE w:val="0"/>
        <w:autoSpaceDN w:val="0"/>
        <w:adjustRightInd w:val="0"/>
        <w:ind w:left="840"/>
        <w:rPr>
          <w:rFonts w:ascii="Arial" w:hAnsi="Arial" w:cs="Arial"/>
        </w:rPr>
      </w:pPr>
    </w:p>
    <w:p w:rsidR="007D438F" w:rsidRDefault="007D438F" w:rsidP="007D438F">
      <w:pPr>
        <w:rPr>
          <w:rFonts w:cs="Arial"/>
          <w:sz w:val="22"/>
          <w:szCs w:val="22"/>
        </w:rPr>
      </w:pPr>
    </w:p>
    <w:p w:rsidR="005341F7" w:rsidRPr="003F744C" w:rsidRDefault="005341F7" w:rsidP="007D438F">
      <w:pPr>
        <w:rPr>
          <w:rFonts w:cs="Arial"/>
          <w:sz w:val="22"/>
          <w:szCs w:val="22"/>
        </w:rPr>
      </w:pPr>
    </w:p>
    <w:p w:rsidR="007D438F" w:rsidRPr="003F744C" w:rsidRDefault="007D438F" w:rsidP="007D438F">
      <w:pPr>
        <w:tabs>
          <w:tab w:val="num" w:pos="360"/>
        </w:tabs>
        <w:rPr>
          <w:rFonts w:cs="Arial"/>
          <w:sz w:val="22"/>
          <w:szCs w:val="22"/>
          <w:u w:val="single"/>
        </w:rPr>
      </w:pPr>
      <w:r w:rsidRPr="003F744C">
        <w:rPr>
          <w:rFonts w:cs="Arial"/>
          <w:sz w:val="22"/>
          <w:szCs w:val="22"/>
          <w:u w:val="single"/>
        </w:rPr>
        <w:t>Revision History:</w:t>
      </w:r>
    </w:p>
    <w:p w:rsidR="007D438F" w:rsidRPr="003F744C" w:rsidRDefault="007D438F" w:rsidP="007D438F">
      <w:pPr>
        <w:tabs>
          <w:tab w:val="num" w:pos="360"/>
        </w:tabs>
        <w:rPr>
          <w:rFonts w:cs="Arial"/>
          <w:sz w:val="22"/>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1073"/>
        <w:gridCol w:w="7286"/>
      </w:tblGrid>
      <w:tr w:rsidR="007D438F" w:rsidRPr="003F744C" w:rsidTr="00CE33AF">
        <w:trPr>
          <w:cantSplit/>
        </w:trPr>
        <w:tc>
          <w:tcPr>
            <w:tcW w:w="1109" w:type="dxa"/>
          </w:tcPr>
          <w:p w:rsidR="007D438F" w:rsidRPr="003F744C" w:rsidRDefault="007D438F" w:rsidP="00CE33AF">
            <w:pPr>
              <w:jc w:val="center"/>
              <w:rPr>
                <w:rFonts w:cs="Arial"/>
                <w:sz w:val="22"/>
                <w:szCs w:val="22"/>
              </w:rPr>
            </w:pPr>
            <w:r w:rsidRPr="003F744C">
              <w:rPr>
                <w:rFonts w:cs="Arial"/>
                <w:sz w:val="22"/>
                <w:szCs w:val="22"/>
              </w:rPr>
              <w:t>Revision</w:t>
            </w:r>
          </w:p>
        </w:tc>
        <w:tc>
          <w:tcPr>
            <w:tcW w:w="961" w:type="dxa"/>
          </w:tcPr>
          <w:p w:rsidR="007D438F" w:rsidRPr="003F744C" w:rsidRDefault="007D438F" w:rsidP="00CE33AF">
            <w:pPr>
              <w:jc w:val="center"/>
              <w:rPr>
                <w:rFonts w:cs="Arial"/>
                <w:sz w:val="22"/>
                <w:szCs w:val="22"/>
              </w:rPr>
            </w:pPr>
            <w:r w:rsidRPr="003F744C">
              <w:rPr>
                <w:rFonts w:cs="Arial"/>
                <w:sz w:val="22"/>
                <w:szCs w:val="22"/>
              </w:rPr>
              <w:t>Date</w:t>
            </w:r>
          </w:p>
        </w:tc>
        <w:tc>
          <w:tcPr>
            <w:tcW w:w="7290" w:type="dxa"/>
          </w:tcPr>
          <w:p w:rsidR="007D438F" w:rsidRPr="003F744C" w:rsidRDefault="007D438F" w:rsidP="00CE33AF">
            <w:pPr>
              <w:jc w:val="center"/>
              <w:rPr>
                <w:rFonts w:cs="Arial"/>
                <w:sz w:val="22"/>
                <w:szCs w:val="22"/>
              </w:rPr>
            </w:pPr>
            <w:r w:rsidRPr="003F744C">
              <w:rPr>
                <w:rFonts w:cs="Arial"/>
                <w:sz w:val="22"/>
                <w:szCs w:val="22"/>
              </w:rPr>
              <w:t>Description of Change</w:t>
            </w:r>
          </w:p>
        </w:tc>
      </w:tr>
      <w:tr w:rsidR="007D438F" w:rsidRPr="003F744C" w:rsidTr="00CE33AF">
        <w:trPr>
          <w:cantSplit/>
        </w:trPr>
        <w:tc>
          <w:tcPr>
            <w:tcW w:w="1109" w:type="dxa"/>
          </w:tcPr>
          <w:p w:rsidR="007D438F" w:rsidRPr="003F744C" w:rsidRDefault="0002231E" w:rsidP="00CE33AF">
            <w:pPr>
              <w:jc w:val="center"/>
              <w:rPr>
                <w:rFonts w:cs="Arial"/>
                <w:sz w:val="22"/>
                <w:szCs w:val="22"/>
              </w:rPr>
            </w:pPr>
            <w:r>
              <w:rPr>
                <w:rFonts w:cs="Arial"/>
                <w:sz w:val="22"/>
                <w:szCs w:val="22"/>
              </w:rPr>
              <w:t>0</w:t>
            </w:r>
          </w:p>
        </w:tc>
        <w:tc>
          <w:tcPr>
            <w:tcW w:w="961" w:type="dxa"/>
          </w:tcPr>
          <w:p w:rsidR="007D438F" w:rsidRPr="003F744C" w:rsidRDefault="000E4DC1" w:rsidP="000E2E8A">
            <w:pPr>
              <w:jc w:val="center"/>
              <w:rPr>
                <w:rFonts w:cs="Arial"/>
                <w:sz w:val="22"/>
                <w:szCs w:val="22"/>
              </w:rPr>
            </w:pPr>
            <w:r>
              <w:rPr>
                <w:rFonts w:cs="Arial"/>
                <w:sz w:val="22"/>
                <w:szCs w:val="22"/>
              </w:rPr>
              <w:t>09/25/15</w:t>
            </w:r>
          </w:p>
        </w:tc>
        <w:tc>
          <w:tcPr>
            <w:tcW w:w="7290" w:type="dxa"/>
          </w:tcPr>
          <w:p w:rsidR="007D438F" w:rsidRPr="003F744C" w:rsidRDefault="007D438F" w:rsidP="00CE33AF">
            <w:pPr>
              <w:rPr>
                <w:rFonts w:cs="Arial"/>
                <w:sz w:val="22"/>
                <w:szCs w:val="22"/>
              </w:rPr>
            </w:pPr>
            <w:r w:rsidRPr="003F744C">
              <w:rPr>
                <w:rFonts w:cs="Arial"/>
                <w:sz w:val="22"/>
                <w:szCs w:val="22"/>
              </w:rPr>
              <w:t>New document release</w:t>
            </w:r>
          </w:p>
        </w:tc>
      </w:tr>
      <w:tr w:rsidR="007D438F" w:rsidRPr="003F744C" w:rsidTr="00CE33AF">
        <w:trPr>
          <w:cantSplit/>
        </w:trPr>
        <w:tc>
          <w:tcPr>
            <w:tcW w:w="1109" w:type="dxa"/>
          </w:tcPr>
          <w:p w:rsidR="007D438F" w:rsidRPr="003F744C" w:rsidRDefault="007D438F" w:rsidP="00E67397">
            <w:pPr>
              <w:jc w:val="center"/>
              <w:rPr>
                <w:rFonts w:cs="Arial"/>
                <w:sz w:val="22"/>
                <w:szCs w:val="22"/>
              </w:rPr>
            </w:pPr>
          </w:p>
        </w:tc>
        <w:tc>
          <w:tcPr>
            <w:tcW w:w="961" w:type="dxa"/>
          </w:tcPr>
          <w:p w:rsidR="007D438F" w:rsidRPr="003F744C" w:rsidRDefault="007D438F" w:rsidP="00CE33AF">
            <w:pPr>
              <w:jc w:val="center"/>
              <w:rPr>
                <w:rFonts w:cs="Arial"/>
                <w:sz w:val="22"/>
                <w:szCs w:val="22"/>
              </w:rPr>
            </w:pPr>
          </w:p>
        </w:tc>
        <w:tc>
          <w:tcPr>
            <w:tcW w:w="7290" w:type="dxa"/>
          </w:tcPr>
          <w:p w:rsidR="007D438F" w:rsidRPr="003F744C" w:rsidRDefault="007D438F" w:rsidP="002E775B">
            <w:pPr>
              <w:pStyle w:val="BodyTextIndent"/>
              <w:ind w:left="0"/>
              <w:rPr>
                <w:rFonts w:cs="Arial"/>
                <w:sz w:val="22"/>
                <w:szCs w:val="22"/>
              </w:rPr>
            </w:pPr>
          </w:p>
        </w:tc>
      </w:tr>
      <w:tr w:rsidR="00CE33AF" w:rsidRPr="003F744C" w:rsidTr="00CE33AF">
        <w:trPr>
          <w:cantSplit/>
        </w:trPr>
        <w:tc>
          <w:tcPr>
            <w:tcW w:w="1109" w:type="dxa"/>
          </w:tcPr>
          <w:p w:rsidR="00CE33AF" w:rsidRDefault="00CE33AF" w:rsidP="00CE33AF">
            <w:pPr>
              <w:jc w:val="center"/>
              <w:rPr>
                <w:rFonts w:cs="Arial"/>
                <w:sz w:val="22"/>
                <w:szCs w:val="22"/>
              </w:rPr>
            </w:pPr>
          </w:p>
        </w:tc>
        <w:tc>
          <w:tcPr>
            <w:tcW w:w="961" w:type="dxa"/>
          </w:tcPr>
          <w:p w:rsidR="00CE33AF" w:rsidRDefault="00CE33AF" w:rsidP="00CE33AF">
            <w:pPr>
              <w:jc w:val="center"/>
              <w:rPr>
                <w:rFonts w:cs="Arial"/>
                <w:sz w:val="22"/>
                <w:szCs w:val="22"/>
              </w:rPr>
            </w:pPr>
          </w:p>
        </w:tc>
        <w:tc>
          <w:tcPr>
            <w:tcW w:w="7290" w:type="dxa"/>
          </w:tcPr>
          <w:p w:rsidR="00CE33AF" w:rsidRDefault="00CE33AF" w:rsidP="00CE33AF">
            <w:pPr>
              <w:pStyle w:val="BodyTextIndent"/>
              <w:ind w:left="0"/>
              <w:rPr>
                <w:rFonts w:cs="Arial"/>
                <w:sz w:val="22"/>
                <w:szCs w:val="22"/>
              </w:rPr>
            </w:pPr>
          </w:p>
        </w:tc>
      </w:tr>
      <w:tr w:rsidR="00B94678" w:rsidRPr="003F744C" w:rsidTr="00CE33AF">
        <w:trPr>
          <w:cantSplit/>
        </w:trPr>
        <w:tc>
          <w:tcPr>
            <w:tcW w:w="1109" w:type="dxa"/>
          </w:tcPr>
          <w:p w:rsidR="00B94678" w:rsidRDefault="00B94678" w:rsidP="00CE33AF">
            <w:pPr>
              <w:jc w:val="center"/>
              <w:rPr>
                <w:rFonts w:cs="Arial"/>
                <w:sz w:val="22"/>
                <w:szCs w:val="22"/>
              </w:rPr>
            </w:pPr>
          </w:p>
        </w:tc>
        <w:tc>
          <w:tcPr>
            <w:tcW w:w="961" w:type="dxa"/>
          </w:tcPr>
          <w:p w:rsidR="00B94678" w:rsidRDefault="00B94678" w:rsidP="00CE33AF">
            <w:pPr>
              <w:jc w:val="center"/>
              <w:rPr>
                <w:rFonts w:cs="Arial"/>
                <w:sz w:val="22"/>
                <w:szCs w:val="22"/>
              </w:rPr>
            </w:pPr>
          </w:p>
        </w:tc>
        <w:tc>
          <w:tcPr>
            <w:tcW w:w="7290" w:type="dxa"/>
          </w:tcPr>
          <w:p w:rsidR="00B94678" w:rsidRDefault="00B94678" w:rsidP="00CE33AF">
            <w:pPr>
              <w:pStyle w:val="BodyTextIndent"/>
              <w:ind w:left="0"/>
              <w:rPr>
                <w:rFonts w:cs="Arial"/>
                <w:sz w:val="22"/>
                <w:szCs w:val="22"/>
              </w:rPr>
            </w:pPr>
          </w:p>
        </w:tc>
      </w:tr>
      <w:tr w:rsidR="0002231E" w:rsidRPr="003F744C" w:rsidTr="00CE33AF">
        <w:trPr>
          <w:cantSplit/>
        </w:trPr>
        <w:tc>
          <w:tcPr>
            <w:tcW w:w="1109" w:type="dxa"/>
          </w:tcPr>
          <w:p w:rsidR="0002231E" w:rsidRDefault="0002231E" w:rsidP="00CE33AF">
            <w:pPr>
              <w:jc w:val="center"/>
              <w:rPr>
                <w:rFonts w:cs="Arial"/>
                <w:sz w:val="22"/>
                <w:szCs w:val="22"/>
              </w:rPr>
            </w:pPr>
          </w:p>
        </w:tc>
        <w:tc>
          <w:tcPr>
            <w:tcW w:w="961" w:type="dxa"/>
          </w:tcPr>
          <w:p w:rsidR="0002231E" w:rsidRDefault="0002231E" w:rsidP="00CE33AF">
            <w:pPr>
              <w:jc w:val="center"/>
              <w:rPr>
                <w:rFonts w:cs="Arial"/>
                <w:sz w:val="22"/>
                <w:szCs w:val="22"/>
              </w:rPr>
            </w:pPr>
          </w:p>
        </w:tc>
        <w:tc>
          <w:tcPr>
            <w:tcW w:w="7290" w:type="dxa"/>
          </w:tcPr>
          <w:p w:rsidR="0002231E" w:rsidRDefault="0002231E" w:rsidP="00CE33AF">
            <w:pPr>
              <w:pStyle w:val="BodyTextIndent"/>
              <w:ind w:left="0"/>
              <w:rPr>
                <w:rFonts w:cs="Arial"/>
                <w:sz w:val="22"/>
                <w:szCs w:val="22"/>
              </w:rPr>
            </w:pPr>
          </w:p>
        </w:tc>
      </w:tr>
    </w:tbl>
    <w:p w:rsidR="007D438F" w:rsidRPr="003F744C" w:rsidRDefault="007D438F" w:rsidP="007D438F">
      <w:pPr>
        <w:pStyle w:val="BodyTextIndent"/>
        <w:ind w:left="0"/>
        <w:jc w:val="both"/>
        <w:rPr>
          <w:rFonts w:cs="Arial"/>
          <w:sz w:val="22"/>
          <w:szCs w:val="22"/>
        </w:rPr>
      </w:pPr>
    </w:p>
    <w:p w:rsidR="00D10C58" w:rsidRDefault="00D10C58">
      <w:pPr>
        <w:rPr>
          <w:rFonts w:cs="Arial"/>
          <w:sz w:val="22"/>
          <w:szCs w:val="22"/>
        </w:rPr>
      </w:pPr>
      <w:r>
        <w:rPr>
          <w:rFonts w:cs="Arial"/>
          <w:sz w:val="22"/>
          <w:szCs w:val="22"/>
        </w:rPr>
        <w:br w:type="page"/>
      </w:r>
    </w:p>
    <w:p w:rsidR="00D10C58" w:rsidRDefault="005175ED" w:rsidP="00CE4FE5">
      <w:pPr>
        <w:jc w:val="center"/>
        <w:rPr>
          <w:rFonts w:cs="Arial"/>
          <w:b/>
          <w:sz w:val="28"/>
          <w:szCs w:val="28"/>
        </w:rPr>
      </w:pPr>
      <w:r>
        <w:rPr>
          <w:rFonts w:cs="Arial"/>
          <w:b/>
          <w:sz w:val="28"/>
          <w:szCs w:val="28"/>
        </w:rPr>
        <w:lastRenderedPageBreak/>
        <w:t xml:space="preserve">Appendix </w:t>
      </w:r>
      <w:r w:rsidR="00CE4FE5">
        <w:rPr>
          <w:rFonts w:cs="Arial"/>
          <w:b/>
          <w:sz w:val="28"/>
          <w:szCs w:val="28"/>
        </w:rPr>
        <w:t>A</w:t>
      </w:r>
    </w:p>
    <w:p w:rsidR="009F7964" w:rsidRDefault="009F7964" w:rsidP="00CE4FE5">
      <w:pPr>
        <w:jc w:val="center"/>
        <w:rPr>
          <w:rFonts w:cs="Arial"/>
          <w:b/>
          <w:sz w:val="28"/>
          <w:szCs w:val="28"/>
        </w:rPr>
      </w:pPr>
      <w:r>
        <w:rPr>
          <w:rFonts w:cs="Arial"/>
          <w:b/>
          <w:sz w:val="28"/>
          <w:szCs w:val="28"/>
        </w:rPr>
        <w:t>Pallet Requirements by Facility</w:t>
      </w:r>
    </w:p>
    <w:p w:rsidR="00AF27B1" w:rsidRDefault="00AF27B1" w:rsidP="00CE4FE5">
      <w:pPr>
        <w:jc w:val="center"/>
        <w:rPr>
          <w:rFonts w:cs="Arial"/>
          <w:b/>
          <w:sz w:val="28"/>
          <w:szCs w:val="28"/>
        </w:rPr>
      </w:pPr>
    </w:p>
    <w:p w:rsidR="00AF27B1" w:rsidRDefault="00EB4CE4" w:rsidP="00CE4FE5">
      <w:pPr>
        <w:jc w:val="center"/>
        <w:rPr>
          <w:rFonts w:cs="Arial"/>
          <w:sz w:val="18"/>
          <w:szCs w:val="18"/>
        </w:rPr>
      </w:pPr>
      <w:r w:rsidRPr="00EB4CE4">
        <w:rPr>
          <w:noProof/>
        </w:rPr>
        <w:drawing>
          <wp:inline distT="0" distB="0" distL="0" distR="0" wp14:anchorId="10FEC789" wp14:editId="19399622">
            <wp:extent cx="5943600" cy="3753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753485"/>
                    </a:xfrm>
                    <a:prstGeom prst="rect">
                      <a:avLst/>
                    </a:prstGeom>
                  </pic:spPr>
                </pic:pic>
              </a:graphicData>
            </a:graphic>
          </wp:inline>
        </w:drawing>
      </w:r>
    </w:p>
    <w:p w:rsidR="009F7964" w:rsidRDefault="009F7964" w:rsidP="00CE4FE5">
      <w:pPr>
        <w:jc w:val="center"/>
        <w:rPr>
          <w:rFonts w:cs="Arial"/>
          <w:sz w:val="18"/>
          <w:szCs w:val="18"/>
        </w:rPr>
      </w:pPr>
    </w:p>
    <w:p w:rsidR="009F7964" w:rsidRDefault="009F7964" w:rsidP="00CE4FE5">
      <w:pPr>
        <w:jc w:val="center"/>
        <w:rPr>
          <w:rFonts w:cs="Arial"/>
          <w:sz w:val="18"/>
          <w:szCs w:val="18"/>
        </w:rPr>
      </w:pPr>
    </w:p>
    <w:p w:rsidR="009F7964" w:rsidRPr="009F7964" w:rsidRDefault="009F7964" w:rsidP="00CE4FE5">
      <w:pPr>
        <w:jc w:val="center"/>
        <w:rPr>
          <w:rFonts w:cs="Arial"/>
          <w:b/>
          <w:sz w:val="28"/>
          <w:szCs w:val="28"/>
        </w:rPr>
      </w:pPr>
      <w:r w:rsidRPr="009F7964">
        <w:rPr>
          <w:rFonts w:cs="Arial"/>
          <w:b/>
          <w:sz w:val="28"/>
          <w:szCs w:val="28"/>
        </w:rPr>
        <w:t xml:space="preserve">Appendix B </w:t>
      </w:r>
    </w:p>
    <w:p w:rsidR="009F7964" w:rsidRPr="009F7964" w:rsidRDefault="009F7964" w:rsidP="00CE4FE5">
      <w:pPr>
        <w:jc w:val="center"/>
        <w:rPr>
          <w:rFonts w:cs="Arial"/>
          <w:b/>
          <w:sz w:val="28"/>
          <w:szCs w:val="28"/>
        </w:rPr>
      </w:pPr>
      <w:r w:rsidRPr="009F7964">
        <w:rPr>
          <w:rFonts w:cs="Arial"/>
          <w:b/>
          <w:sz w:val="28"/>
          <w:szCs w:val="28"/>
        </w:rPr>
        <w:t>Pallet Stacking Patterns</w:t>
      </w:r>
    </w:p>
    <w:p w:rsidR="009F7964" w:rsidRPr="009F7964" w:rsidRDefault="009F7964" w:rsidP="00CE4FE5">
      <w:pPr>
        <w:jc w:val="center"/>
        <w:rPr>
          <w:rFonts w:cs="Arial"/>
          <w:b/>
          <w:sz w:val="18"/>
          <w:szCs w:val="18"/>
        </w:rPr>
      </w:pPr>
    </w:p>
    <w:p w:rsidR="009F7964" w:rsidRPr="009F7964" w:rsidRDefault="009F7964" w:rsidP="009F7964">
      <w:pPr>
        <w:rPr>
          <w:rFonts w:cs="Arial"/>
          <w:b/>
          <w:sz w:val="18"/>
          <w:szCs w:val="18"/>
        </w:rPr>
      </w:pPr>
      <w:r w:rsidRPr="009F7964">
        <w:rPr>
          <w:rFonts w:cs="Arial"/>
          <w:b/>
          <w:sz w:val="18"/>
          <w:szCs w:val="18"/>
        </w:rPr>
        <w:t xml:space="preserve">Interlocking Patterns: These </w:t>
      </w:r>
      <w:proofErr w:type="gramStart"/>
      <w:r w:rsidRPr="009F7964">
        <w:rPr>
          <w:rFonts w:cs="Arial"/>
          <w:b/>
          <w:sz w:val="18"/>
          <w:szCs w:val="18"/>
        </w:rPr>
        <w:t>type</w:t>
      </w:r>
      <w:proofErr w:type="gramEnd"/>
      <w:r w:rsidRPr="009F7964">
        <w:rPr>
          <w:rFonts w:cs="Arial"/>
          <w:b/>
          <w:sz w:val="18"/>
          <w:szCs w:val="18"/>
        </w:rPr>
        <w:t xml:space="preserve"> of patterns provide the most stability. </w:t>
      </w:r>
    </w:p>
    <w:p w:rsidR="009F7964" w:rsidRDefault="009F7964" w:rsidP="00CE4FE5">
      <w:pPr>
        <w:jc w:val="center"/>
        <w:rPr>
          <w:rFonts w:cs="Arial"/>
          <w:sz w:val="18"/>
          <w:szCs w:val="18"/>
        </w:rPr>
      </w:pPr>
      <w:r>
        <w:rPr>
          <w:noProof/>
        </w:rPr>
        <w:lastRenderedPageBreak/>
        <w:drawing>
          <wp:inline distT="0" distB="0" distL="0" distR="0" wp14:anchorId="38728525" wp14:editId="1C6AAB32">
            <wp:extent cx="5227607" cy="3131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699" t="5808" r="3091" b="2525"/>
                    <a:stretch/>
                  </pic:blipFill>
                  <pic:spPr bwMode="auto">
                    <a:xfrm>
                      <a:off x="0" y="0"/>
                      <a:ext cx="5232180" cy="3134128"/>
                    </a:xfrm>
                    <a:prstGeom prst="rect">
                      <a:avLst/>
                    </a:prstGeom>
                    <a:ln>
                      <a:noFill/>
                    </a:ln>
                    <a:extLst>
                      <a:ext uri="{53640926-AAD7-44D8-BBD7-CCE9431645EC}">
                        <a14:shadowObscured xmlns:a14="http://schemas.microsoft.com/office/drawing/2010/main"/>
                      </a:ext>
                    </a:extLst>
                  </pic:spPr>
                </pic:pic>
              </a:graphicData>
            </a:graphic>
          </wp:inline>
        </w:drawing>
      </w:r>
    </w:p>
    <w:p w:rsidR="009F7964" w:rsidRPr="009F7964" w:rsidRDefault="009F7964" w:rsidP="00CE4FE5">
      <w:pPr>
        <w:jc w:val="center"/>
        <w:rPr>
          <w:rFonts w:cs="Arial"/>
          <w:b/>
          <w:sz w:val="18"/>
          <w:szCs w:val="18"/>
        </w:rPr>
      </w:pPr>
    </w:p>
    <w:p w:rsidR="009F7964" w:rsidRPr="009F7964" w:rsidRDefault="009F7964" w:rsidP="009F7964">
      <w:pPr>
        <w:rPr>
          <w:rFonts w:cs="Arial"/>
          <w:b/>
          <w:sz w:val="18"/>
          <w:szCs w:val="18"/>
        </w:rPr>
      </w:pPr>
      <w:r w:rsidRPr="009F7964">
        <w:rPr>
          <w:rFonts w:cs="Arial"/>
          <w:b/>
          <w:sz w:val="18"/>
          <w:szCs w:val="18"/>
        </w:rPr>
        <w:t xml:space="preserve">Slip Sheets are required between layers when patterns are not interlocking. </w:t>
      </w:r>
    </w:p>
    <w:p w:rsidR="009F7964" w:rsidRDefault="009F7964" w:rsidP="009F7964">
      <w:pPr>
        <w:rPr>
          <w:rFonts w:cs="Arial"/>
          <w:sz w:val="18"/>
          <w:szCs w:val="18"/>
        </w:rPr>
      </w:pPr>
    </w:p>
    <w:p w:rsidR="009F7964" w:rsidRDefault="009F7964" w:rsidP="00CE4FE5">
      <w:pPr>
        <w:jc w:val="center"/>
        <w:rPr>
          <w:rFonts w:cs="Arial"/>
          <w:sz w:val="18"/>
          <w:szCs w:val="18"/>
        </w:rPr>
      </w:pPr>
      <w:r>
        <w:rPr>
          <w:noProof/>
        </w:rPr>
        <w:drawing>
          <wp:inline distT="0" distB="0" distL="0" distR="0" wp14:anchorId="4E25A4B8" wp14:editId="7D0C8DE3">
            <wp:extent cx="5607170" cy="2769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90" t="7066" r="3634" b="17208"/>
                    <a:stretch/>
                  </pic:blipFill>
                  <pic:spPr bwMode="auto">
                    <a:xfrm>
                      <a:off x="0" y="0"/>
                      <a:ext cx="5615337" cy="2773113"/>
                    </a:xfrm>
                    <a:prstGeom prst="rect">
                      <a:avLst/>
                    </a:prstGeom>
                    <a:ln>
                      <a:noFill/>
                    </a:ln>
                    <a:extLst>
                      <a:ext uri="{53640926-AAD7-44D8-BBD7-CCE9431645EC}">
                        <a14:shadowObscured xmlns:a14="http://schemas.microsoft.com/office/drawing/2010/main"/>
                      </a:ext>
                    </a:extLst>
                  </pic:spPr>
                </pic:pic>
              </a:graphicData>
            </a:graphic>
          </wp:inline>
        </w:drawing>
      </w:r>
    </w:p>
    <w:p w:rsidR="009F7964" w:rsidRDefault="009F7964" w:rsidP="009F7964">
      <w:pPr>
        <w:rPr>
          <w:rFonts w:cs="Arial"/>
          <w:b/>
          <w:sz w:val="18"/>
          <w:szCs w:val="18"/>
        </w:rPr>
      </w:pPr>
    </w:p>
    <w:p w:rsidR="009F7964" w:rsidRPr="009F7964" w:rsidRDefault="009F7964" w:rsidP="009F7964">
      <w:pPr>
        <w:rPr>
          <w:rFonts w:cs="Arial"/>
          <w:b/>
          <w:sz w:val="18"/>
          <w:szCs w:val="18"/>
        </w:rPr>
      </w:pPr>
    </w:p>
    <w:p w:rsidR="009F7964" w:rsidRPr="009F7964" w:rsidRDefault="009F7964" w:rsidP="009F7964">
      <w:pPr>
        <w:rPr>
          <w:rFonts w:cs="Arial"/>
          <w:b/>
          <w:sz w:val="18"/>
          <w:szCs w:val="18"/>
        </w:rPr>
      </w:pPr>
      <w:r w:rsidRPr="009F7964">
        <w:rPr>
          <w:rFonts w:cs="Arial"/>
          <w:b/>
          <w:sz w:val="18"/>
          <w:szCs w:val="18"/>
        </w:rPr>
        <w:t xml:space="preserve">Empty space must be positioned to the center of the pallet. </w:t>
      </w:r>
    </w:p>
    <w:p w:rsidR="009F7964" w:rsidRDefault="009F7964" w:rsidP="00CE4FE5">
      <w:pPr>
        <w:jc w:val="center"/>
        <w:rPr>
          <w:rFonts w:cs="Arial"/>
          <w:sz w:val="18"/>
          <w:szCs w:val="18"/>
        </w:rPr>
      </w:pPr>
    </w:p>
    <w:p w:rsidR="009F7964" w:rsidRPr="00D10C58" w:rsidRDefault="009F7964" w:rsidP="00CE4FE5">
      <w:pPr>
        <w:jc w:val="center"/>
        <w:rPr>
          <w:rFonts w:cs="Arial"/>
          <w:sz w:val="18"/>
          <w:szCs w:val="18"/>
        </w:rPr>
      </w:pPr>
      <w:r>
        <w:rPr>
          <w:noProof/>
        </w:rPr>
        <w:lastRenderedPageBreak/>
        <w:drawing>
          <wp:inline distT="0" distB="0" distL="0" distR="0" wp14:anchorId="333D661C" wp14:editId="04026CBC">
            <wp:extent cx="5943600" cy="2893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893060"/>
                    </a:xfrm>
                    <a:prstGeom prst="rect">
                      <a:avLst/>
                    </a:prstGeom>
                  </pic:spPr>
                </pic:pic>
              </a:graphicData>
            </a:graphic>
          </wp:inline>
        </w:drawing>
      </w:r>
    </w:p>
    <w:sectPr w:rsidR="009F7964" w:rsidRPr="00D10C58" w:rsidSect="00730E51">
      <w:headerReference w:type="even" r:id="rId35"/>
      <w:headerReference w:type="default" r:id="rId36"/>
      <w:footerReference w:type="even" r:id="rId37"/>
      <w:footerReference w:type="default" r:id="rId38"/>
      <w:headerReference w:type="first" r:id="rId39"/>
      <w:footerReference w:type="first" r:id="rId40"/>
      <w:type w:val="continuous"/>
      <w:pgSz w:w="12240" w:h="15840" w:code="1"/>
      <w:pgMar w:top="1101"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9AB" w:rsidRDefault="00CB19AB">
      <w:r>
        <w:separator/>
      </w:r>
    </w:p>
  </w:endnote>
  <w:endnote w:type="continuationSeparator" w:id="0">
    <w:p w:rsidR="00CB19AB" w:rsidRDefault="00CB1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E" w:rsidRDefault="00C87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08" w:type="dxa"/>
      <w:tblBorders>
        <w:top w:val="single" w:sz="4" w:space="0" w:color="auto"/>
        <w:insideH w:val="single" w:sz="4" w:space="0" w:color="auto"/>
        <w:insideV w:val="single" w:sz="4" w:space="0" w:color="auto"/>
      </w:tblBorders>
      <w:tblLook w:val="0000" w:firstRow="0" w:lastRow="0" w:firstColumn="0" w:lastColumn="0" w:noHBand="0" w:noVBand="0"/>
    </w:tblPr>
    <w:tblGrid>
      <w:gridCol w:w="9360"/>
    </w:tblGrid>
    <w:tr w:rsidR="00D7215C">
      <w:tc>
        <w:tcPr>
          <w:tcW w:w="9360" w:type="dxa"/>
        </w:tcPr>
        <w:p w:rsidR="00D7215C" w:rsidRDefault="00D7215C">
          <w:pPr>
            <w:pStyle w:val="Footer"/>
            <w:rPr>
              <w:b/>
              <w:bCs/>
              <w:i/>
              <w:iCs/>
              <w:sz w:val="20"/>
            </w:rPr>
          </w:pPr>
          <w:r w:rsidRPr="00690A7E">
            <w:rPr>
              <w:rFonts w:ascii="Arial Narrow" w:hAnsi="Arial Narrow"/>
              <w:i/>
              <w:iCs/>
              <w:sz w:val="18"/>
            </w:rPr>
            <w:t xml:space="preserve">Printed copies </w:t>
          </w:r>
          <w:r>
            <w:rPr>
              <w:rFonts w:ascii="Arial Narrow" w:hAnsi="Arial Narrow"/>
              <w:i/>
              <w:iCs/>
              <w:sz w:val="18"/>
            </w:rPr>
            <w:t xml:space="preserve">valid only on the date of print. </w:t>
          </w:r>
          <w:r w:rsidRPr="00690A7E">
            <w:rPr>
              <w:rFonts w:ascii="Arial Narrow" w:hAnsi="Arial Narrow"/>
              <w:i/>
              <w:iCs/>
              <w:sz w:val="18"/>
            </w:rPr>
            <w:t xml:space="preserve">                                                                                                    </w:t>
          </w:r>
          <w:r w:rsidRPr="00690A7E">
            <w:rPr>
              <w:rFonts w:ascii="Arial Narrow" w:hAnsi="Arial Narrow"/>
              <w:b/>
              <w:bCs/>
              <w:i/>
              <w:sz w:val="20"/>
            </w:rPr>
            <w:t xml:space="preserve"> </w:t>
          </w:r>
          <w:r>
            <w:rPr>
              <w:rFonts w:ascii="Arial Narrow" w:hAnsi="Arial Narrow"/>
              <w:b/>
              <w:bCs/>
              <w:sz w:val="20"/>
            </w:rPr>
            <w:t xml:space="preserve">PRINT DATE: </w:t>
          </w:r>
          <w:r>
            <w:rPr>
              <w:rFonts w:ascii="Arial Narrow" w:hAnsi="Arial Narrow"/>
              <w:b/>
              <w:bCs/>
              <w:sz w:val="20"/>
            </w:rPr>
            <w:fldChar w:fldCharType="begin"/>
          </w:r>
          <w:r>
            <w:rPr>
              <w:rFonts w:ascii="Arial Narrow" w:hAnsi="Arial Narrow"/>
              <w:b/>
              <w:bCs/>
              <w:sz w:val="20"/>
            </w:rPr>
            <w:instrText xml:space="preserve"> DATE \@ "M/d/yyyy" </w:instrText>
          </w:r>
          <w:r>
            <w:rPr>
              <w:rFonts w:ascii="Arial Narrow" w:hAnsi="Arial Narrow"/>
              <w:b/>
              <w:bCs/>
              <w:sz w:val="20"/>
            </w:rPr>
            <w:fldChar w:fldCharType="separate"/>
          </w:r>
          <w:r w:rsidR="00C872BE">
            <w:rPr>
              <w:rFonts w:ascii="Arial Narrow" w:hAnsi="Arial Narrow"/>
              <w:b/>
              <w:bCs/>
              <w:noProof/>
              <w:sz w:val="20"/>
            </w:rPr>
            <w:t>9/28/2015</w:t>
          </w:r>
          <w:r>
            <w:rPr>
              <w:rFonts w:ascii="Arial Narrow" w:hAnsi="Arial Narrow"/>
              <w:b/>
              <w:bCs/>
              <w:sz w:val="20"/>
            </w:rPr>
            <w:fldChar w:fldCharType="end"/>
          </w:r>
        </w:p>
      </w:tc>
    </w:tr>
  </w:tbl>
  <w:p w:rsidR="00D7215C" w:rsidRDefault="00D72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E" w:rsidRDefault="00C87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9AB" w:rsidRDefault="00CB19AB">
      <w:r>
        <w:separator/>
      </w:r>
    </w:p>
  </w:footnote>
  <w:footnote w:type="continuationSeparator" w:id="0">
    <w:p w:rsidR="00CB19AB" w:rsidRDefault="00CB1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E" w:rsidRDefault="00C872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131"/>
      <w:gridCol w:w="974"/>
      <w:gridCol w:w="2017"/>
      <w:gridCol w:w="536"/>
      <w:gridCol w:w="353"/>
      <w:gridCol w:w="1862"/>
      <w:gridCol w:w="717"/>
      <w:gridCol w:w="878"/>
    </w:tblGrid>
    <w:tr w:rsidR="00D7215C">
      <w:trPr>
        <w:cantSplit/>
        <w:trHeight w:val="692"/>
      </w:trPr>
      <w:tc>
        <w:tcPr>
          <w:tcW w:w="3150" w:type="dxa"/>
          <w:gridSpan w:val="2"/>
          <w:tcBorders>
            <w:top w:val="single" w:sz="12" w:space="0" w:color="auto"/>
            <w:bottom w:val="single" w:sz="12" w:space="0" w:color="auto"/>
            <w:right w:val="nil"/>
          </w:tcBorders>
          <w:vAlign w:val="center"/>
        </w:tcPr>
        <w:p w:rsidR="00D7215C" w:rsidRDefault="00D7215C">
          <w:pPr>
            <w:pStyle w:val="Footer"/>
            <w:jc w:val="center"/>
            <w:rPr>
              <w:rFonts w:cs="Arial"/>
              <w:b/>
              <w:bCs/>
            </w:rPr>
          </w:pPr>
          <w:r w:rsidRPr="00E71ADE">
            <w:rPr>
              <w:rFonts w:cs="Arial"/>
              <w:b/>
              <w:bCs/>
              <w:noProof/>
            </w:rPr>
            <w:drawing>
              <wp:inline distT="0" distB="0" distL="0" distR="0" wp14:anchorId="52219002" wp14:editId="6C9E8D6B">
                <wp:extent cx="798607" cy="527474"/>
                <wp:effectExtent l="0" t="0" r="1905" b="6350"/>
                <wp:docPr id="20" name="Picture 7" descr="Allegion_tm_v_c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llegion_tm_v_c_large.jpg"/>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gray">
                        <a:xfrm>
                          <a:off x="0" y="0"/>
                          <a:ext cx="798607" cy="527474"/>
                        </a:xfrm>
                        <a:prstGeom prst="rect">
                          <a:avLst/>
                        </a:prstGeom>
                      </pic:spPr>
                    </pic:pic>
                  </a:graphicData>
                </a:graphic>
              </wp:inline>
            </w:drawing>
          </w:r>
        </w:p>
      </w:tc>
      <w:tc>
        <w:tcPr>
          <w:tcW w:w="6210" w:type="dxa"/>
          <w:gridSpan w:val="6"/>
          <w:tcBorders>
            <w:top w:val="single" w:sz="12" w:space="0" w:color="auto"/>
            <w:left w:val="nil"/>
            <w:bottom w:val="single" w:sz="12" w:space="0" w:color="auto"/>
          </w:tcBorders>
          <w:vAlign w:val="center"/>
        </w:tcPr>
        <w:p w:rsidR="00D7215C" w:rsidRPr="00606FA2" w:rsidRDefault="006836A0" w:rsidP="00B53CDF">
          <w:pPr>
            <w:pStyle w:val="Footer"/>
            <w:jc w:val="right"/>
            <w:rPr>
              <w:rFonts w:cs="Arial"/>
              <w:b/>
              <w:bCs/>
              <w:sz w:val="36"/>
              <w:szCs w:val="36"/>
            </w:rPr>
          </w:pPr>
          <w:r>
            <w:rPr>
              <w:rFonts w:ascii="Times New Roman" w:hAnsi="Times New Roman"/>
              <w:b/>
              <w:sz w:val="36"/>
              <w:szCs w:val="36"/>
            </w:rPr>
            <w:t>Inbound Packaging Specification</w:t>
          </w:r>
        </w:p>
      </w:tc>
    </w:tr>
    <w:tr w:rsidR="00D7215C">
      <w:trPr>
        <w:cantSplit/>
        <w:trHeight w:val="359"/>
      </w:trPr>
      <w:tc>
        <w:tcPr>
          <w:tcW w:w="2160" w:type="dxa"/>
          <w:tcBorders>
            <w:right w:val="single" w:sz="12" w:space="0" w:color="auto"/>
          </w:tcBorders>
          <w:vAlign w:val="center"/>
        </w:tcPr>
        <w:p w:rsidR="00D7215C" w:rsidRDefault="00D7215C">
          <w:pPr>
            <w:pStyle w:val="Footer"/>
            <w:rPr>
              <w:rFonts w:cs="Arial"/>
              <w:b/>
              <w:bCs/>
              <w:sz w:val="20"/>
            </w:rPr>
          </w:pPr>
          <w:r>
            <w:rPr>
              <w:rFonts w:cs="Arial"/>
              <w:b/>
              <w:bCs/>
              <w:sz w:val="20"/>
            </w:rPr>
            <w:t>Document Scope:</w:t>
          </w:r>
        </w:p>
      </w:tc>
      <w:tc>
        <w:tcPr>
          <w:tcW w:w="3060" w:type="dxa"/>
          <w:gridSpan w:val="2"/>
          <w:tcBorders>
            <w:left w:val="single" w:sz="12" w:space="0" w:color="auto"/>
            <w:right w:val="single" w:sz="12" w:space="0" w:color="auto"/>
          </w:tcBorders>
          <w:vAlign w:val="center"/>
        </w:tcPr>
        <w:p w:rsidR="00D7215C" w:rsidRDefault="00D7215C">
          <w:pPr>
            <w:pStyle w:val="Footer"/>
            <w:rPr>
              <w:rFonts w:cs="Arial"/>
              <w:b/>
              <w:bCs/>
              <w:sz w:val="20"/>
            </w:rPr>
          </w:pPr>
          <w:r>
            <w:rPr>
              <w:rFonts w:cs="Arial"/>
              <w:b/>
              <w:bCs/>
              <w:sz w:val="20"/>
            </w:rPr>
            <w:t>Allegion Operations</w:t>
          </w:r>
        </w:p>
      </w:tc>
      <w:tc>
        <w:tcPr>
          <w:tcW w:w="900" w:type="dxa"/>
          <w:gridSpan w:val="2"/>
          <w:tcBorders>
            <w:left w:val="single" w:sz="12" w:space="0" w:color="auto"/>
            <w:right w:val="single" w:sz="12" w:space="0" w:color="auto"/>
          </w:tcBorders>
          <w:vAlign w:val="center"/>
        </w:tcPr>
        <w:p w:rsidR="00D7215C" w:rsidRDefault="00D7215C">
          <w:pPr>
            <w:pStyle w:val="Footer"/>
            <w:rPr>
              <w:rFonts w:cs="Arial"/>
              <w:b/>
              <w:bCs/>
              <w:sz w:val="20"/>
            </w:rPr>
          </w:pPr>
          <w:r>
            <w:rPr>
              <w:rFonts w:cs="Arial"/>
              <w:b/>
              <w:bCs/>
              <w:sz w:val="20"/>
            </w:rPr>
            <w:t>Doc #</w:t>
          </w:r>
        </w:p>
      </w:tc>
      <w:tc>
        <w:tcPr>
          <w:tcW w:w="1620" w:type="dxa"/>
          <w:tcBorders>
            <w:left w:val="single" w:sz="12" w:space="0" w:color="auto"/>
            <w:right w:val="single" w:sz="12" w:space="0" w:color="auto"/>
          </w:tcBorders>
          <w:vAlign w:val="center"/>
        </w:tcPr>
        <w:p w:rsidR="00D7215C" w:rsidRDefault="00D7215C" w:rsidP="00C872BE">
          <w:pPr>
            <w:pStyle w:val="Footer"/>
            <w:rPr>
              <w:rFonts w:cs="Arial"/>
              <w:b/>
              <w:bCs/>
              <w:sz w:val="20"/>
            </w:rPr>
          </w:pPr>
          <w:r>
            <w:rPr>
              <w:rFonts w:cs="Arial"/>
              <w:b/>
              <w:bCs/>
              <w:sz w:val="20"/>
            </w:rPr>
            <w:t>MATL_</w:t>
          </w:r>
          <w:r w:rsidR="00C872BE">
            <w:rPr>
              <w:rFonts w:cs="Arial"/>
              <w:b/>
              <w:bCs/>
              <w:sz w:val="20"/>
            </w:rPr>
            <w:t>SOP</w:t>
          </w:r>
          <w:r>
            <w:rPr>
              <w:rFonts w:cs="Arial"/>
              <w:b/>
              <w:bCs/>
              <w:sz w:val="20"/>
            </w:rPr>
            <w:t>_00</w:t>
          </w:r>
          <w:r w:rsidR="00C872BE">
            <w:rPr>
              <w:rFonts w:cs="Arial"/>
              <w:b/>
              <w:bCs/>
              <w:sz w:val="20"/>
            </w:rPr>
            <w:t>01</w:t>
          </w:r>
          <w:bookmarkStart w:id="0" w:name="_GoBack"/>
          <w:bookmarkEnd w:id="0"/>
        </w:p>
      </w:tc>
      <w:tc>
        <w:tcPr>
          <w:tcW w:w="720" w:type="dxa"/>
          <w:tcBorders>
            <w:left w:val="single" w:sz="12" w:space="0" w:color="auto"/>
            <w:bottom w:val="single" w:sz="12" w:space="0" w:color="auto"/>
            <w:right w:val="single" w:sz="12" w:space="0" w:color="auto"/>
          </w:tcBorders>
          <w:vAlign w:val="center"/>
        </w:tcPr>
        <w:p w:rsidR="00D7215C" w:rsidRDefault="00D7215C">
          <w:pPr>
            <w:pStyle w:val="Footer"/>
            <w:rPr>
              <w:rFonts w:cs="Arial"/>
              <w:b/>
              <w:bCs/>
              <w:sz w:val="20"/>
            </w:rPr>
          </w:pPr>
          <w:r>
            <w:rPr>
              <w:rFonts w:cs="Arial"/>
              <w:b/>
              <w:bCs/>
              <w:sz w:val="20"/>
            </w:rPr>
            <w:t>Rev:</w:t>
          </w:r>
        </w:p>
      </w:tc>
      <w:tc>
        <w:tcPr>
          <w:tcW w:w="900" w:type="dxa"/>
          <w:tcBorders>
            <w:left w:val="single" w:sz="12" w:space="0" w:color="auto"/>
            <w:bottom w:val="single" w:sz="12" w:space="0" w:color="auto"/>
          </w:tcBorders>
          <w:vAlign w:val="center"/>
        </w:tcPr>
        <w:p w:rsidR="00D7215C" w:rsidRDefault="006836A0">
          <w:pPr>
            <w:pStyle w:val="Footer"/>
            <w:rPr>
              <w:rFonts w:cs="Arial"/>
              <w:b/>
              <w:bCs/>
              <w:sz w:val="20"/>
            </w:rPr>
          </w:pPr>
          <w:r>
            <w:rPr>
              <w:rFonts w:cs="Arial"/>
              <w:b/>
              <w:bCs/>
              <w:sz w:val="20"/>
            </w:rPr>
            <w:t>1</w:t>
          </w:r>
        </w:p>
      </w:tc>
    </w:tr>
    <w:tr w:rsidR="00D7215C">
      <w:trPr>
        <w:cantSplit/>
        <w:trHeight w:val="300"/>
      </w:trPr>
      <w:tc>
        <w:tcPr>
          <w:tcW w:w="2160" w:type="dxa"/>
          <w:tcBorders>
            <w:bottom w:val="single" w:sz="12" w:space="0" w:color="auto"/>
            <w:right w:val="single" w:sz="12" w:space="0" w:color="auto"/>
          </w:tcBorders>
          <w:vAlign w:val="center"/>
        </w:tcPr>
        <w:p w:rsidR="00D7215C" w:rsidRDefault="00D7215C">
          <w:pPr>
            <w:pStyle w:val="Footer"/>
            <w:rPr>
              <w:rFonts w:cs="Arial"/>
              <w:b/>
              <w:bCs/>
              <w:sz w:val="20"/>
            </w:rPr>
          </w:pPr>
          <w:r>
            <w:rPr>
              <w:rFonts w:cs="Arial"/>
              <w:b/>
              <w:bCs/>
              <w:sz w:val="20"/>
            </w:rPr>
            <w:t>Document Sponsor:</w:t>
          </w:r>
        </w:p>
      </w:tc>
      <w:tc>
        <w:tcPr>
          <w:tcW w:w="5580" w:type="dxa"/>
          <w:gridSpan w:val="5"/>
          <w:tcBorders>
            <w:left w:val="single" w:sz="12" w:space="0" w:color="auto"/>
            <w:bottom w:val="single" w:sz="12" w:space="0" w:color="auto"/>
            <w:right w:val="single" w:sz="12" w:space="0" w:color="auto"/>
          </w:tcBorders>
          <w:vAlign w:val="center"/>
        </w:tcPr>
        <w:p w:rsidR="00D7215C" w:rsidRDefault="00D7215C">
          <w:pPr>
            <w:pStyle w:val="Footer"/>
            <w:rPr>
              <w:rFonts w:cs="Arial"/>
              <w:b/>
              <w:bCs/>
              <w:sz w:val="20"/>
            </w:rPr>
          </w:pPr>
          <w:r>
            <w:rPr>
              <w:rFonts w:cs="Arial"/>
              <w:b/>
              <w:bCs/>
              <w:sz w:val="20"/>
            </w:rPr>
            <w:t>VP SIOP &amp; Materials Management</w:t>
          </w:r>
        </w:p>
      </w:tc>
      <w:tc>
        <w:tcPr>
          <w:tcW w:w="1620" w:type="dxa"/>
          <w:gridSpan w:val="2"/>
          <w:tcBorders>
            <w:left w:val="single" w:sz="12" w:space="0" w:color="auto"/>
            <w:bottom w:val="single" w:sz="12" w:space="0" w:color="auto"/>
          </w:tcBorders>
          <w:vAlign w:val="center"/>
        </w:tcPr>
        <w:p w:rsidR="00D7215C" w:rsidRDefault="00D7215C" w:rsidP="00D065B6">
          <w:pPr>
            <w:pStyle w:val="Footer"/>
            <w:rPr>
              <w:rFonts w:cs="Arial"/>
              <w:b/>
              <w:bCs/>
              <w:sz w:val="20"/>
            </w:rPr>
          </w:pPr>
          <w:r>
            <w:rPr>
              <w:rFonts w:cs="Arial"/>
              <w:b/>
              <w:bCs/>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C872BE">
            <w:rPr>
              <w:rStyle w:val="PageNumber"/>
              <w:noProof/>
              <w:sz w:val="20"/>
            </w:rPr>
            <w:t>1</w:t>
          </w:r>
          <w:r>
            <w:rPr>
              <w:rStyle w:val="PageNumber"/>
              <w:sz w:val="20"/>
            </w:rPr>
            <w:fldChar w:fldCharType="end"/>
          </w:r>
          <w:r>
            <w:rPr>
              <w:rStyle w:val="PageNumber"/>
              <w:b/>
              <w:bCs/>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C872BE">
            <w:rPr>
              <w:rStyle w:val="PageNumber"/>
              <w:noProof/>
              <w:sz w:val="20"/>
            </w:rPr>
            <w:t>17</w:t>
          </w:r>
          <w:r>
            <w:rPr>
              <w:rStyle w:val="PageNumber"/>
              <w:sz w:val="20"/>
            </w:rPr>
            <w:fldChar w:fldCharType="end"/>
          </w:r>
        </w:p>
      </w:tc>
    </w:tr>
    <w:tr w:rsidR="00D7215C">
      <w:trPr>
        <w:cantSplit/>
        <w:trHeight w:val="355"/>
      </w:trPr>
      <w:tc>
        <w:tcPr>
          <w:tcW w:w="2160" w:type="dxa"/>
          <w:tcBorders>
            <w:bottom w:val="nil"/>
            <w:right w:val="single" w:sz="12" w:space="0" w:color="auto"/>
          </w:tcBorders>
          <w:vAlign w:val="center"/>
        </w:tcPr>
        <w:p w:rsidR="00D7215C" w:rsidRDefault="00D7215C">
          <w:pPr>
            <w:pStyle w:val="Footer"/>
            <w:rPr>
              <w:rFonts w:cs="Arial"/>
              <w:b/>
              <w:bCs/>
              <w:sz w:val="20"/>
            </w:rPr>
          </w:pPr>
          <w:r>
            <w:rPr>
              <w:rFonts w:cs="Arial"/>
              <w:b/>
              <w:bCs/>
              <w:sz w:val="20"/>
            </w:rPr>
            <w:t>Approved: Draft</w:t>
          </w:r>
        </w:p>
      </w:tc>
      <w:tc>
        <w:tcPr>
          <w:tcW w:w="3600" w:type="dxa"/>
          <w:gridSpan w:val="3"/>
          <w:tcBorders>
            <w:left w:val="single" w:sz="12" w:space="0" w:color="auto"/>
            <w:bottom w:val="nil"/>
            <w:right w:val="single" w:sz="12" w:space="0" w:color="auto"/>
          </w:tcBorders>
          <w:vAlign w:val="center"/>
        </w:tcPr>
        <w:p w:rsidR="00D7215C" w:rsidRDefault="006836A0" w:rsidP="001D249A">
          <w:pPr>
            <w:pStyle w:val="Footer"/>
            <w:jc w:val="center"/>
            <w:rPr>
              <w:rFonts w:cs="Arial"/>
              <w:b/>
              <w:bCs/>
              <w:sz w:val="16"/>
            </w:rPr>
          </w:pPr>
          <w:r>
            <w:rPr>
              <w:rFonts w:cs="Arial"/>
              <w:b/>
              <w:bCs/>
              <w:sz w:val="16"/>
            </w:rPr>
            <w:t>Katie Schonert</w:t>
          </w:r>
        </w:p>
      </w:tc>
      <w:tc>
        <w:tcPr>
          <w:tcW w:w="3600" w:type="dxa"/>
          <w:gridSpan w:val="4"/>
          <w:tcBorders>
            <w:left w:val="single" w:sz="12" w:space="0" w:color="auto"/>
            <w:bottom w:val="nil"/>
          </w:tcBorders>
          <w:vAlign w:val="center"/>
        </w:tcPr>
        <w:p w:rsidR="00D7215C" w:rsidRDefault="00D7215C">
          <w:pPr>
            <w:pStyle w:val="Footer"/>
            <w:jc w:val="center"/>
            <w:rPr>
              <w:rFonts w:cs="Arial"/>
            </w:rPr>
          </w:pPr>
          <w:r>
            <w:rPr>
              <w:rFonts w:cs="Arial"/>
            </w:rPr>
            <w:t>Michelle Stark</w:t>
          </w:r>
        </w:p>
      </w:tc>
    </w:tr>
    <w:tr w:rsidR="00D7215C">
      <w:trPr>
        <w:cantSplit/>
        <w:trHeight w:val="157"/>
      </w:trPr>
      <w:tc>
        <w:tcPr>
          <w:tcW w:w="2160" w:type="dxa"/>
          <w:tcBorders>
            <w:top w:val="nil"/>
            <w:right w:val="single" w:sz="12" w:space="0" w:color="auto"/>
          </w:tcBorders>
          <w:vAlign w:val="center"/>
        </w:tcPr>
        <w:p w:rsidR="00D7215C" w:rsidRDefault="00D7215C">
          <w:pPr>
            <w:pStyle w:val="Footer"/>
            <w:jc w:val="center"/>
            <w:rPr>
              <w:rFonts w:cs="Arial"/>
              <w:sz w:val="16"/>
            </w:rPr>
          </w:pPr>
        </w:p>
      </w:tc>
      <w:tc>
        <w:tcPr>
          <w:tcW w:w="3600" w:type="dxa"/>
          <w:gridSpan w:val="3"/>
          <w:tcBorders>
            <w:top w:val="nil"/>
            <w:left w:val="single" w:sz="12" w:space="0" w:color="auto"/>
            <w:right w:val="single" w:sz="12" w:space="0" w:color="auto"/>
          </w:tcBorders>
          <w:vAlign w:val="center"/>
        </w:tcPr>
        <w:p w:rsidR="00D7215C" w:rsidRDefault="00D7215C">
          <w:pPr>
            <w:pStyle w:val="Footer"/>
            <w:jc w:val="center"/>
            <w:rPr>
              <w:rFonts w:cs="Arial"/>
              <w:sz w:val="16"/>
            </w:rPr>
          </w:pPr>
          <w:r>
            <w:rPr>
              <w:rFonts w:cs="Arial"/>
              <w:sz w:val="16"/>
            </w:rPr>
            <w:t>Author/Document Owner</w:t>
          </w:r>
        </w:p>
      </w:tc>
      <w:tc>
        <w:tcPr>
          <w:tcW w:w="3600" w:type="dxa"/>
          <w:gridSpan w:val="4"/>
          <w:tcBorders>
            <w:top w:val="nil"/>
            <w:left w:val="single" w:sz="12" w:space="0" w:color="auto"/>
          </w:tcBorders>
          <w:vAlign w:val="center"/>
        </w:tcPr>
        <w:p w:rsidR="00D7215C" w:rsidRDefault="00D7215C">
          <w:pPr>
            <w:pStyle w:val="Footer"/>
            <w:jc w:val="center"/>
            <w:rPr>
              <w:rFonts w:cs="Arial"/>
              <w:sz w:val="16"/>
            </w:rPr>
          </w:pPr>
          <w:r>
            <w:rPr>
              <w:rFonts w:cs="Arial"/>
              <w:sz w:val="16"/>
            </w:rPr>
            <w:t xml:space="preserve">Document Sponsor </w:t>
          </w:r>
        </w:p>
      </w:tc>
    </w:tr>
  </w:tbl>
  <w:p w:rsidR="00D7215C" w:rsidRDefault="00D721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E" w:rsidRDefault="00C87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612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nsid w:val="10C225C9"/>
    <w:multiLevelType w:val="hybridMultilevel"/>
    <w:tmpl w:val="964EA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F5E2C"/>
    <w:multiLevelType w:val="multilevel"/>
    <w:tmpl w:val="F1829B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532432F"/>
    <w:multiLevelType w:val="hybridMultilevel"/>
    <w:tmpl w:val="50FA0BAE"/>
    <w:lvl w:ilvl="0" w:tplc="6A3ABCE0">
      <w:start w:val="1"/>
      <w:numFmt w:val="decimal"/>
      <w:lvlText w:val="%1."/>
      <w:lvlJc w:val="left"/>
      <w:pPr>
        <w:tabs>
          <w:tab w:val="num" w:pos="720"/>
        </w:tabs>
        <w:ind w:left="720" w:hanging="360"/>
      </w:pPr>
    </w:lvl>
    <w:lvl w:ilvl="1" w:tplc="518E1CBE" w:tentative="1">
      <w:start w:val="1"/>
      <w:numFmt w:val="decimal"/>
      <w:lvlText w:val="%2."/>
      <w:lvlJc w:val="left"/>
      <w:pPr>
        <w:tabs>
          <w:tab w:val="num" w:pos="1440"/>
        </w:tabs>
        <w:ind w:left="1440" w:hanging="360"/>
      </w:pPr>
    </w:lvl>
    <w:lvl w:ilvl="2" w:tplc="2FBEFC38" w:tentative="1">
      <w:start w:val="1"/>
      <w:numFmt w:val="decimal"/>
      <w:lvlText w:val="%3."/>
      <w:lvlJc w:val="left"/>
      <w:pPr>
        <w:tabs>
          <w:tab w:val="num" w:pos="2160"/>
        </w:tabs>
        <w:ind w:left="2160" w:hanging="360"/>
      </w:pPr>
    </w:lvl>
    <w:lvl w:ilvl="3" w:tplc="80A26332" w:tentative="1">
      <w:start w:val="1"/>
      <w:numFmt w:val="decimal"/>
      <w:lvlText w:val="%4."/>
      <w:lvlJc w:val="left"/>
      <w:pPr>
        <w:tabs>
          <w:tab w:val="num" w:pos="2880"/>
        </w:tabs>
        <w:ind w:left="2880" w:hanging="360"/>
      </w:pPr>
    </w:lvl>
    <w:lvl w:ilvl="4" w:tplc="0ED672BA" w:tentative="1">
      <w:start w:val="1"/>
      <w:numFmt w:val="decimal"/>
      <w:lvlText w:val="%5."/>
      <w:lvlJc w:val="left"/>
      <w:pPr>
        <w:tabs>
          <w:tab w:val="num" w:pos="3600"/>
        </w:tabs>
        <w:ind w:left="3600" w:hanging="360"/>
      </w:pPr>
    </w:lvl>
    <w:lvl w:ilvl="5" w:tplc="C924F672" w:tentative="1">
      <w:start w:val="1"/>
      <w:numFmt w:val="decimal"/>
      <w:lvlText w:val="%6."/>
      <w:lvlJc w:val="left"/>
      <w:pPr>
        <w:tabs>
          <w:tab w:val="num" w:pos="4320"/>
        </w:tabs>
        <w:ind w:left="4320" w:hanging="360"/>
      </w:pPr>
    </w:lvl>
    <w:lvl w:ilvl="6" w:tplc="32A08758" w:tentative="1">
      <w:start w:val="1"/>
      <w:numFmt w:val="decimal"/>
      <w:lvlText w:val="%7."/>
      <w:lvlJc w:val="left"/>
      <w:pPr>
        <w:tabs>
          <w:tab w:val="num" w:pos="5040"/>
        </w:tabs>
        <w:ind w:left="5040" w:hanging="360"/>
      </w:pPr>
    </w:lvl>
    <w:lvl w:ilvl="7" w:tplc="E49255E6" w:tentative="1">
      <w:start w:val="1"/>
      <w:numFmt w:val="decimal"/>
      <w:lvlText w:val="%8."/>
      <w:lvlJc w:val="left"/>
      <w:pPr>
        <w:tabs>
          <w:tab w:val="num" w:pos="5760"/>
        </w:tabs>
        <w:ind w:left="5760" w:hanging="360"/>
      </w:pPr>
    </w:lvl>
    <w:lvl w:ilvl="8" w:tplc="C6008EE4" w:tentative="1">
      <w:start w:val="1"/>
      <w:numFmt w:val="decimal"/>
      <w:lvlText w:val="%9."/>
      <w:lvlJc w:val="left"/>
      <w:pPr>
        <w:tabs>
          <w:tab w:val="num" w:pos="6480"/>
        </w:tabs>
        <w:ind w:left="6480" w:hanging="360"/>
      </w:pPr>
    </w:lvl>
  </w:abstractNum>
  <w:abstractNum w:abstractNumId="4">
    <w:nsid w:val="15F45559"/>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76770BB"/>
    <w:multiLevelType w:val="multilevel"/>
    <w:tmpl w:val="07C205B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78A326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nsid w:val="19191B5C"/>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D85E52"/>
    <w:multiLevelType w:val="multilevel"/>
    <w:tmpl w:val="6C3A53F6"/>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F6E067D"/>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FDC0478"/>
    <w:multiLevelType w:val="multilevel"/>
    <w:tmpl w:val="07BAA81A"/>
    <w:lvl w:ilvl="0">
      <w:start w:val="1"/>
      <w:numFmt w:val="decimal"/>
      <w:pStyle w:val="Heading1"/>
      <w:lvlText w:val="%1"/>
      <w:lvlJc w:val="left"/>
      <w:pPr>
        <w:tabs>
          <w:tab w:val="num" w:pos="360"/>
        </w:tabs>
        <w:ind w:left="360" w:hanging="360"/>
      </w:pPr>
      <w:rPr>
        <w:rFonts w:hint="default"/>
        <w:b/>
      </w:rPr>
    </w:lvl>
    <w:lvl w:ilvl="1">
      <w:start w:val="1"/>
      <w:numFmt w:val="decimal"/>
      <w:isLgl/>
      <w:lvlText w:val="%2.%2"/>
      <w:lvlJc w:val="left"/>
      <w:pPr>
        <w:tabs>
          <w:tab w:val="num" w:pos="1080"/>
        </w:tabs>
        <w:ind w:left="1080" w:hanging="36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200"/>
        </w:tabs>
        <w:ind w:left="7200" w:hanging="1440"/>
      </w:pPr>
      <w:rPr>
        <w:rFonts w:hint="default"/>
        <w:b/>
      </w:rPr>
    </w:lvl>
  </w:abstractNum>
  <w:abstractNum w:abstractNumId="11">
    <w:nsid w:val="23076F27"/>
    <w:multiLevelType w:val="singleLevel"/>
    <w:tmpl w:val="F6CCB436"/>
    <w:lvl w:ilvl="0">
      <w:start w:val="1"/>
      <w:numFmt w:val="decimal"/>
      <w:lvlText w:val="%1."/>
      <w:lvlJc w:val="left"/>
      <w:pPr>
        <w:tabs>
          <w:tab w:val="num" w:pos="720"/>
        </w:tabs>
        <w:ind w:left="720" w:hanging="360"/>
      </w:pPr>
      <w:rPr>
        <w:rFonts w:hint="default"/>
      </w:rPr>
    </w:lvl>
  </w:abstractNum>
  <w:abstractNum w:abstractNumId="12">
    <w:nsid w:val="270A5874"/>
    <w:multiLevelType w:val="hybridMultilevel"/>
    <w:tmpl w:val="5C92BD90"/>
    <w:lvl w:ilvl="0" w:tplc="DEE4598E">
      <w:start w:val="1"/>
      <w:numFmt w:val="upperLetter"/>
      <w:lvlText w:val="%1."/>
      <w:lvlJc w:val="left"/>
      <w:pPr>
        <w:tabs>
          <w:tab w:val="num" w:pos="360"/>
        </w:tabs>
        <w:ind w:left="360" w:hanging="360"/>
      </w:pPr>
    </w:lvl>
    <w:lvl w:ilvl="1" w:tplc="318C48FE">
      <w:start w:val="1"/>
      <w:numFmt w:val="upperLetter"/>
      <w:lvlText w:val="%2."/>
      <w:lvlJc w:val="left"/>
      <w:pPr>
        <w:tabs>
          <w:tab w:val="num" w:pos="1080"/>
        </w:tabs>
        <w:ind w:left="1080" w:hanging="360"/>
      </w:pPr>
    </w:lvl>
    <w:lvl w:ilvl="2" w:tplc="8C480AC0" w:tentative="1">
      <w:start w:val="1"/>
      <w:numFmt w:val="upperLetter"/>
      <w:lvlText w:val="%3."/>
      <w:lvlJc w:val="left"/>
      <w:pPr>
        <w:tabs>
          <w:tab w:val="num" w:pos="1800"/>
        </w:tabs>
        <w:ind w:left="1800" w:hanging="360"/>
      </w:pPr>
    </w:lvl>
    <w:lvl w:ilvl="3" w:tplc="D4147C18" w:tentative="1">
      <w:start w:val="1"/>
      <w:numFmt w:val="upperLetter"/>
      <w:lvlText w:val="%4."/>
      <w:lvlJc w:val="left"/>
      <w:pPr>
        <w:tabs>
          <w:tab w:val="num" w:pos="2520"/>
        </w:tabs>
        <w:ind w:left="2520" w:hanging="360"/>
      </w:pPr>
    </w:lvl>
    <w:lvl w:ilvl="4" w:tplc="25DE2AEE" w:tentative="1">
      <w:start w:val="1"/>
      <w:numFmt w:val="upperLetter"/>
      <w:lvlText w:val="%5."/>
      <w:lvlJc w:val="left"/>
      <w:pPr>
        <w:tabs>
          <w:tab w:val="num" w:pos="3240"/>
        </w:tabs>
        <w:ind w:left="3240" w:hanging="360"/>
      </w:pPr>
    </w:lvl>
    <w:lvl w:ilvl="5" w:tplc="719E43C2" w:tentative="1">
      <w:start w:val="1"/>
      <w:numFmt w:val="upperLetter"/>
      <w:lvlText w:val="%6."/>
      <w:lvlJc w:val="left"/>
      <w:pPr>
        <w:tabs>
          <w:tab w:val="num" w:pos="3960"/>
        </w:tabs>
        <w:ind w:left="3960" w:hanging="360"/>
      </w:pPr>
    </w:lvl>
    <w:lvl w:ilvl="6" w:tplc="E41A5088" w:tentative="1">
      <w:start w:val="1"/>
      <w:numFmt w:val="upperLetter"/>
      <w:lvlText w:val="%7."/>
      <w:lvlJc w:val="left"/>
      <w:pPr>
        <w:tabs>
          <w:tab w:val="num" w:pos="4680"/>
        </w:tabs>
        <w:ind w:left="4680" w:hanging="360"/>
      </w:pPr>
    </w:lvl>
    <w:lvl w:ilvl="7" w:tplc="F2647FF6" w:tentative="1">
      <w:start w:val="1"/>
      <w:numFmt w:val="upperLetter"/>
      <w:lvlText w:val="%8."/>
      <w:lvlJc w:val="left"/>
      <w:pPr>
        <w:tabs>
          <w:tab w:val="num" w:pos="5400"/>
        </w:tabs>
        <w:ind w:left="5400" w:hanging="360"/>
      </w:pPr>
    </w:lvl>
    <w:lvl w:ilvl="8" w:tplc="6CD6C3E6" w:tentative="1">
      <w:start w:val="1"/>
      <w:numFmt w:val="upperLetter"/>
      <w:lvlText w:val="%9."/>
      <w:lvlJc w:val="left"/>
      <w:pPr>
        <w:tabs>
          <w:tab w:val="num" w:pos="6120"/>
        </w:tabs>
        <w:ind w:left="6120" w:hanging="360"/>
      </w:pPr>
    </w:lvl>
  </w:abstractNum>
  <w:abstractNum w:abstractNumId="13">
    <w:nsid w:val="2E2A442D"/>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E4F413B"/>
    <w:multiLevelType w:val="multilevel"/>
    <w:tmpl w:val="07C205B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336A3A20"/>
    <w:multiLevelType w:val="hybridMultilevel"/>
    <w:tmpl w:val="276CE2A0"/>
    <w:lvl w:ilvl="0" w:tplc="04090001">
      <w:start w:val="1"/>
      <w:numFmt w:val="bullet"/>
      <w:lvlText w:val=""/>
      <w:lvlJc w:val="left"/>
      <w:pPr>
        <w:ind w:left="926" w:hanging="360"/>
      </w:pPr>
      <w:rPr>
        <w:rFonts w:ascii="Symbol" w:hAnsi="Symbol" w:hint="default"/>
      </w:rPr>
    </w:lvl>
    <w:lvl w:ilvl="1" w:tplc="04090003">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6">
    <w:nsid w:val="373A62AD"/>
    <w:multiLevelType w:val="multilevel"/>
    <w:tmpl w:val="913E59B6"/>
    <w:lvl w:ilvl="0">
      <w:start w:val="7"/>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7FF6FA8"/>
    <w:multiLevelType w:val="multilevel"/>
    <w:tmpl w:val="913E59B6"/>
    <w:lvl w:ilvl="0">
      <w:start w:val="7"/>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8637A41"/>
    <w:multiLevelType w:val="hybridMultilevel"/>
    <w:tmpl w:val="B00E7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F03247"/>
    <w:multiLevelType w:val="singleLevel"/>
    <w:tmpl w:val="31D29C62"/>
    <w:lvl w:ilvl="0">
      <w:start w:val="1"/>
      <w:numFmt w:val="decimal"/>
      <w:lvlText w:val="%1."/>
      <w:lvlJc w:val="left"/>
      <w:pPr>
        <w:tabs>
          <w:tab w:val="num" w:pos="720"/>
        </w:tabs>
        <w:ind w:left="720" w:hanging="360"/>
      </w:pPr>
      <w:rPr>
        <w:rFonts w:hint="default"/>
      </w:rPr>
    </w:lvl>
  </w:abstractNum>
  <w:abstractNum w:abstractNumId="20">
    <w:nsid w:val="411512B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nsid w:val="43B2551D"/>
    <w:multiLevelType w:val="singleLevel"/>
    <w:tmpl w:val="04090019"/>
    <w:lvl w:ilvl="0">
      <w:start w:val="1"/>
      <w:numFmt w:val="lowerLetter"/>
      <w:lvlText w:val="(%1)"/>
      <w:lvlJc w:val="left"/>
      <w:pPr>
        <w:tabs>
          <w:tab w:val="num" w:pos="360"/>
        </w:tabs>
        <w:ind w:left="360" w:hanging="360"/>
      </w:pPr>
      <w:rPr>
        <w:rFonts w:hint="default"/>
      </w:rPr>
    </w:lvl>
  </w:abstractNum>
  <w:abstractNum w:abstractNumId="22">
    <w:nsid w:val="45271F16"/>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9DD6A71"/>
    <w:multiLevelType w:val="multilevel"/>
    <w:tmpl w:val="8A58F7D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2A71D2"/>
    <w:multiLevelType w:val="multilevel"/>
    <w:tmpl w:val="0CAC91AE"/>
    <w:lvl w:ilvl="0">
      <w:start w:val="6"/>
      <w:numFmt w:val="decimal"/>
      <w:lvlText w:val="%1"/>
      <w:lvlJc w:val="left"/>
      <w:pPr>
        <w:ind w:left="360" w:hanging="360"/>
      </w:pPr>
      <w:rPr>
        <w:rFonts w:hint="default"/>
        <w:sz w:val="24"/>
      </w:rPr>
    </w:lvl>
    <w:lvl w:ilvl="1">
      <w:start w:val="8"/>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5">
    <w:nsid w:val="5C2B30B0"/>
    <w:multiLevelType w:val="hybridMultilevel"/>
    <w:tmpl w:val="25662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DA5AA1"/>
    <w:multiLevelType w:val="hybridMultilevel"/>
    <w:tmpl w:val="FC084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EF50CC"/>
    <w:multiLevelType w:val="multilevel"/>
    <w:tmpl w:val="913E59B6"/>
    <w:lvl w:ilvl="0">
      <w:start w:val="7"/>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1FE29E9"/>
    <w:multiLevelType w:val="multilevel"/>
    <w:tmpl w:val="2FA2E5FA"/>
    <w:lvl w:ilvl="0">
      <w:start w:val="6"/>
      <w:numFmt w:val="decimal"/>
      <w:lvlText w:val="%1"/>
      <w:lvlJc w:val="left"/>
      <w:pPr>
        <w:ind w:left="360" w:hanging="360"/>
      </w:pPr>
      <w:rPr>
        <w:rFonts w:hint="default"/>
        <w:sz w:val="24"/>
      </w:rPr>
    </w:lvl>
    <w:lvl w:ilvl="1">
      <w:start w:val="8"/>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29">
    <w:nsid w:val="63825101"/>
    <w:multiLevelType w:val="singleLevel"/>
    <w:tmpl w:val="F6CCB436"/>
    <w:lvl w:ilvl="0">
      <w:start w:val="1"/>
      <w:numFmt w:val="decimal"/>
      <w:lvlText w:val="%1."/>
      <w:lvlJc w:val="left"/>
      <w:pPr>
        <w:tabs>
          <w:tab w:val="num" w:pos="720"/>
        </w:tabs>
        <w:ind w:left="720" w:hanging="360"/>
      </w:pPr>
      <w:rPr>
        <w:rFonts w:hint="default"/>
      </w:rPr>
    </w:lvl>
  </w:abstractNum>
  <w:abstractNum w:abstractNumId="30">
    <w:nsid w:val="658D1FD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
    <w:nsid w:val="6A2A295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2">
    <w:nsid w:val="6BA42E37"/>
    <w:multiLevelType w:val="hybridMultilevel"/>
    <w:tmpl w:val="80C46322"/>
    <w:lvl w:ilvl="0" w:tplc="765632A2">
      <w:start w:val="1"/>
      <w:numFmt w:val="decimal"/>
      <w:lvlText w:val="%1."/>
      <w:lvlJc w:val="left"/>
      <w:pPr>
        <w:tabs>
          <w:tab w:val="num" w:pos="720"/>
        </w:tabs>
        <w:ind w:left="720" w:hanging="360"/>
      </w:pPr>
    </w:lvl>
    <w:lvl w:ilvl="1" w:tplc="CB7E50A6" w:tentative="1">
      <w:start w:val="1"/>
      <w:numFmt w:val="decimal"/>
      <w:lvlText w:val="%2."/>
      <w:lvlJc w:val="left"/>
      <w:pPr>
        <w:tabs>
          <w:tab w:val="num" w:pos="1440"/>
        </w:tabs>
        <w:ind w:left="1440" w:hanging="360"/>
      </w:pPr>
    </w:lvl>
    <w:lvl w:ilvl="2" w:tplc="6AF0043A" w:tentative="1">
      <w:start w:val="1"/>
      <w:numFmt w:val="decimal"/>
      <w:lvlText w:val="%3."/>
      <w:lvlJc w:val="left"/>
      <w:pPr>
        <w:tabs>
          <w:tab w:val="num" w:pos="2160"/>
        </w:tabs>
        <w:ind w:left="2160" w:hanging="360"/>
      </w:pPr>
    </w:lvl>
    <w:lvl w:ilvl="3" w:tplc="8328F726" w:tentative="1">
      <w:start w:val="1"/>
      <w:numFmt w:val="decimal"/>
      <w:lvlText w:val="%4."/>
      <w:lvlJc w:val="left"/>
      <w:pPr>
        <w:tabs>
          <w:tab w:val="num" w:pos="2880"/>
        </w:tabs>
        <w:ind w:left="2880" w:hanging="360"/>
      </w:pPr>
    </w:lvl>
    <w:lvl w:ilvl="4" w:tplc="EED649E6" w:tentative="1">
      <w:start w:val="1"/>
      <w:numFmt w:val="decimal"/>
      <w:lvlText w:val="%5."/>
      <w:lvlJc w:val="left"/>
      <w:pPr>
        <w:tabs>
          <w:tab w:val="num" w:pos="3600"/>
        </w:tabs>
        <w:ind w:left="3600" w:hanging="360"/>
      </w:pPr>
    </w:lvl>
    <w:lvl w:ilvl="5" w:tplc="76D65894" w:tentative="1">
      <w:start w:val="1"/>
      <w:numFmt w:val="decimal"/>
      <w:lvlText w:val="%6."/>
      <w:lvlJc w:val="left"/>
      <w:pPr>
        <w:tabs>
          <w:tab w:val="num" w:pos="4320"/>
        </w:tabs>
        <w:ind w:left="4320" w:hanging="360"/>
      </w:pPr>
    </w:lvl>
    <w:lvl w:ilvl="6" w:tplc="925C74CC" w:tentative="1">
      <w:start w:val="1"/>
      <w:numFmt w:val="decimal"/>
      <w:lvlText w:val="%7."/>
      <w:lvlJc w:val="left"/>
      <w:pPr>
        <w:tabs>
          <w:tab w:val="num" w:pos="5040"/>
        </w:tabs>
        <w:ind w:left="5040" w:hanging="360"/>
      </w:pPr>
    </w:lvl>
    <w:lvl w:ilvl="7" w:tplc="4314AA70" w:tentative="1">
      <w:start w:val="1"/>
      <w:numFmt w:val="decimal"/>
      <w:lvlText w:val="%8."/>
      <w:lvlJc w:val="left"/>
      <w:pPr>
        <w:tabs>
          <w:tab w:val="num" w:pos="5760"/>
        </w:tabs>
        <w:ind w:left="5760" w:hanging="360"/>
      </w:pPr>
    </w:lvl>
    <w:lvl w:ilvl="8" w:tplc="14C065AE" w:tentative="1">
      <w:start w:val="1"/>
      <w:numFmt w:val="decimal"/>
      <w:lvlText w:val="%9."/>
      <w:lvlJc w:val="left"/>
      <w:pPr>
        <w:tabs>
          <w:tab w:val="num" w:pos="6480"/>
        </w:tabs>
        <w:ind w:left="6480" w:hanging="360"/>
      </w:pPr>
    </w:lvl>
  </w:abstractNum>
  <w:abstractNum w:abstractNumId="33">
    <w:nsid w:val="6DF06B39"/>
    <w:multiLevelType w:val="hybridMultilevel"/>
    <w:tmpl w:val="664C0F1E"/>
    <w:lvl w:ilvl="0" w:tplc="6A7A4120">
      <w:start w:val="1"/>
      <w:numFmt w:val="decimal"/>
      <w:lvlText w:val="%1."/>
      <w:lvlJc w:val="left"/>
      <w:pPr>
        <w:tabs>
          <w:tab w:val="num" w:pos="720"/>
        </w:tabs>
        <w:ind w:left="720" w:hanging="360"/>
      </w:pPr>
    </w:lvl>
    <w:lvl w:ilvl="1" w:tplc="B4D4B90E" w:tentative="1">
      <w:start w:val="1"/>
      <w:numFmt w:val="decimal"/>
      <w:lvlText w:val="%2."/>
      <w:lvlJc w:val="left"/>
      <w:pPr>
        <w:tabs>
          <w:tab w:val="num" w:pos="1440"/>
        </w:tabs>
        <w:ind w:left="1440" w:hanging="360"/>
      </w:pPr>
    </w:lvl>
    <w:lvl w:ilvl="2" w:tplc="DA662568" w:tentative="1">
      <w:start w:val="1"/>
      <w:numFmt w:val="decimal"/>
      <w:lvlText w:val="%3."/>
      <w:lvlJc w:val="left"/>
      <w:pPr>
        <w:tabs>
          <w:tab w:val="num" w:pos="2160"/>
        </w:tabs>
        <w:ind w:left="2160" w:hanging="360"/>
      </w:pPr>
    </w:lvl>
    <w:lvl w:ilvl="3" w:tplc="7786BE10" w:tentative="1">
      <w:start w:val="1"/>
      <w:numFmt w:val="decimal"/>
      <w:lvlText w:val="%4."/>
      <w:lvlJc w:val="left"/>
      <w:pPr>
        <w:tabs>
          <w:tab w:val="num" w:pos="2880"/>
        </w:tabs>
        <w:ind w:left="2880" w:hanging="360"/>
      </w:pPr>
    </w:lvl>
    <w:lvl w:ilvl="4" w:tplc="DD6E742C" w:tentative="1">
      <w:start w:val="1"/>
      <w:numFmt w:val="decimal"/>
      <w:lvlText w:val="%5."/>
      <w:lvlJc w:val="left"/>
      <w:pPr>
        <w:tabs>
          <w:tab w:val="num" w:pos="3600"/>
        </w:tabs>
        <w:ind w:left="3600" w:hanging="360"/>
      </w:pPr>
    </w:lvl>
    <w:lvl w:ilvl="5" w:tplc="2C16CEF8" w:tentative="1">
      <w:start w:val="1"/>
      <w:numFmt w:val="decimal"/>
      <w:lvlText w:val="%6."/>
      <w:lvlJc w:val="left"/>
      <w:pPr>
        <w:tabs>
          <w:tab w:val="num" w:pos="4320"/>
        </w:tabs>
        <w:ind w:left="4320" w:hanging="360"/>
      </w:pPr>
    </w:lvl>
    <w:lvl w:ilvl="6" w:tplc="833C17B6" w:tentative="1">
      <w:start w:val="1"/>
      <w:numFmt w:val="decimal"/>
      <w:lvlText w:val="%7."/>
      <w:lvlJc w:val="left"/>
      <w:pPr>
        <w:tabs>
          <w:tab w:val="num" w:pos="5040"/>
        </w:tabs>
        <w:ind w:left="5040" w:hanging="360"/>
      </w:pPr>
    </w:lvl>
    <w:lvl w:ilvl="7" w:tplc="04DE398C" w:tentative="1">
      <w:start w:val="1"/>
      <w:numFmt w:val="decimal"/>
      <w:lvlText w:val="%8."/>
      <w:lvlJc w:val="left"/>
      <w:pPr>
        <w:tabs>
          <w:tab w:val="num" w:pos="5760"/>
        </w:tabs>
        <w:ind w:left="5760" w:hanging="360"/>
      </w:pPr>
    </w:lvl>
    <w:lvl w:ilvl="8" w:tplc="07B0380E" w:tentative="1">
      <w:start w:val="1"/>
      <w:numFmt w:val="decimal"/>
      <w:lvlText w:val="%9."/>
      <w:lvlJc w:val="left"/>
      <w:pPr>
        <w:tabs>
          <w:tab w:val="num" w:pos="6480"/>
        </w:tabs>
        <w:ind w:left="6480" w:hanging="360"/>
      </w:pPr>
    </w:lvl>
  </w:abstractNum>
  <w:abstractNum w:abstractNumId="34">
    <w:nsid w:val="735C6E74"/>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84B18B3"/>
    <w:multiLevelType w:val="multilevel"/>
    <w:tmpl w:val="250812C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6"/>
  </w:num>
  <w:num w:numId="3">
    <w:abstractNumId w:val="0"/>
  </w:num>
  <w:num w:numId="4">
    <w:abstractNumId w:val="31"/>
  </w:num>
  <w:num w:numId="5">
    <w:abstractNumId w:val="20"/>
  </w:num>
  <w:num w:numId="6">
    <w:abstractNumId w:val="6"/>
  </w:num>
  <w:num w:numId="7">
    <w:abstractNumId w:val="21"/>
  </w:num>
  <w:num w:numId="8">
    <w:abstractNumId w:val="11"/>
  </w:num>
  <w:num w:numId="9">
    <w:abstractNumId w:val="19"/>
  </w:num>
  <w:num w:numId="10">
    <w:abstractNumId w:val="30"/>
  </w:num>
  <w:num w:numId="11">
    <w:abstractNumId w:val="7"/>
  </w:num>
  <w:num w:numId="12">
    <w:abstractNumId w:val="15"/>
  </w:num>
  <w:num w:numId="13">
    <w:abstractNumId w:val="29"/>
  </w:num>
  <w:num w:numId="14">
    <w:abstractNumId w:val="33"/>
  </w:num>
  <w:num w:numId="15">
    <w:abstractNumId w:val="32"/>
  </w:num>
  <w:num w:numId="16">
    <w:abstractNumId w:val="3"/>
  </w:num>
  <w:num w:numId="17">
    <w:abstractNumId w:val="18"/>
  </w:num>
  <w:num w:numId="18">
    <w:abstractNumId w:val="28"/>
  </w:num>
  <w:num w:numId="19">
    <w:abstractNumId w:val="24"/>
  </w:num>
  <w:num w:numId="20">
    <w:abstractNumId w:val="8"/>
  </w:num>
  <w:num w:numId="21">
    <w:abstractNumId w:val="12"/>
  </w:num>
  <w:num w:numId="22">
    <w:abstractNumId w:val="1"/>
  </w:num>
  <w:num w:numId="23">
    <w:abstractNumId w:val="25"/>
  </w:num>
  <w:num w:numId="24">
    <w:abstractNumId w:val="2"/>
  </w:num>
  <w:num w:numId="25">
    <w:abstractNumId w:val="5"/>
  </w:num>
  <w:num w:numId="26">
    <w:abstractNumId w:val="14"/>
  </w:num>
  <w:num w:numId="27">
    <w:abstractNumId w:val="23"/>
  </w:num>
  <w:num w:numId="28">
    <w:abstractNumId w:val="34"/>
  </w:num>
  <w:num w:numId="29">
    <w:abstractNumId w:val="4"/>
  </w:num>
  <w:num w:numId="30">
    <w:abstractNumId w:val="13"/>
  </w:num>
  <w:num w:numId="31">
    <w:abstractNumId w:val="22"/>
  </w:num>
  <w:num w:numId="32">
    <w:abstractNumId w:val="35"/>
  </w:num>
  <w:num w:numId="33">
    <w:abstractNumId w:val="16"/>
  </w:num>
  <w:num w:numId="34">
    <w:abstractNumId w:val="17"/>
  </w:num>
  <w:num w:numId="35">
    <w:abstractNumId w:val="27"/>
  </w:num>
  <w:num w:numId="3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216"/>
    <w:rsid w:val="0000028B"/>
    <w:rsid w:val="00011EC7"/>
    <w:rsid w:val="00012915"/>
    <w:rsid w:val="00013ECA"/>
    <w:rsid w:val="00016D84"/>
    <w:rsid w:val="000171BF"/>
    <w:rsid w:val="000204E2"/>
    <w:rsid w:val="0002231E"/>
    <w:rsid w:val="000279D5"/>
    <w:rsid w:val="00030023"/>
    <w:rsid w:val="00031E82"/>
    <w:rsid w:val="000332C5"/>
    <w:rsid w:val="00046285"/>
    <w:rsid w:val="00046AA5"/>
    <w:rsid w:val="000549AE"/>
    <w:rsid w:val="0006474D"/>
    <w:rsid w:val="00066637"/>
    <w:rsid w:val="000674A6"/>
    <w:rsid w:val="00072078"/>
    <w:rsid w:val="000727DC"/>
    <w:rsid w:val="000747F4"/>
    <w:rsid w:val="00074CD2"/>
    <w:rsid w:val="00081077"/>
    <w:rsid w:val="00084B01"/>
    <w:rsid w:val="00091799"/>
    <w:rsid w:val="00091862"/>
    <w:rsid w:val="000B12BA"/>
    <w:rsid w:val="000C10A0"/>
    <w:rsid w:val="000D0C07"/>
    <w:rsid w:val="000D0E90"/>
    <w:rsid w:val="000D757E"/>
    <w:rsid w:val="000D7B8F"/>
    <w:rsid w:val="000E2692"/>
    <w:rsid w:val="000E2E8A"/>
    <w:rsid w:val="000E3BF7"/>
    <w:rsid w:val="000E4DC1"/>
    <w:rsid w:val="000E6681"/>
    <w:rsid w:val="000E73F3"/>
    <w:rsid w:val="000E7ED9"/>
    <w:rsid w:val="000F1DDA"/>
    <w:rsid w:val="00100B50"/>
    <w:rsid w:val="00100CE8"/>
    <w:rsid w:val="001042D1"/>
    <w:rsid w:val="00110DB0"/>
    <w:rsid w:val="00112929"/>
    <w:rsid w:val="00117A7C"/>
    <w:rsid w:val="0012426A"/>
    <w:rsid w:val="001252FC"/>
    <w:rsid w:val="0013108E"/>
    <w:rsid w:val="00131AC4"/>
    <w:rsid w:val="001353CD"/>
    <w:rsid w:val="001403B5"/>
    <w:rsid w:val="00140415"/>
    <w:rsid w:val="001425E0"/>
    <w:rsid w:val="001444D7"/>
    <w:rsid w:val="00145B22"/>
    <w:rsid w:val="0015317C"/>
    <w:rsid w:val="00153476"/>
    <w:rsid w:val="0015357C"/>
    <w:rsid w:val="00153781"/>
    <w:rsid w:val="0015460A"/>
    <w:rsid w:val="00156D12"/>
    <w:rsid w:val="00161B06"/>
    <w:rsid w:val="00162C2C"/>
    <w:rsid w:val="00167BD4"/>
    <w:rsid w:val="001700EA"/>
    <w:rsid w:val="001701BB"/>
    <w:rsid w:val="00171B31"/>
    <w:rsid w:val="001816C6"/>
    <w:rsid w:val="00184414"/>
    <w:rsid w:val="0018494E"/>
    <w:rsid w:val="00191BB8"/>
    <w:rsid w:val="0019676A"/>
    <w:rsid w:val="001976CB"/>
    <w:rsid w:val="00197CEB"/>
    <w:rsid w:val="001A60E8"/>
    <w:rsid w:val="001A7324"/>
    <w:rsid w:val="001B262F"/>
    <w:rsid w:val="001B394C"/>
    <w:rsid w:val="001B3D60"/>
    <w:rsid w:val="001D00D7"/>
    <w:rsid w:val="001D0440"/>
    <w:rsid w:val="001D1317"/>
    <w:rsid w:val="001D1C92"/>
    <w:rsid w:val="001D249A"/>
    <w:rsid w:val="001D32AB"/>
    <w:rsid w:val="001D33AD"/>
    <w:rsid w:val="001D6FCA"/>
    <w:rsid w:val="001D7481"/>
    <w:rsid w:val="001E40E9"/>
    <w:rsid w:val="001E4CE3"/>
    <w:rsid w:val="001E6066"/>
    <w:rsid w:val="001E61BA"/>
    <w:rsid w:val="001E6CAA"/>
    <w:rsid w:val="001F3915"/>
    <w:rsid w:val="001F41E9"/>
    <w:rsid w:val="001F7EB4"/>
    <w:rsid w:val="00201454"/>
    <w:rsid w:val="0020401A"/>
    <w:rsid w:val="002074E3"/>
    <w:rsid w:val="002110A9"/>
    <w:rsid w:val="002122C2"/>
    <w:rsid w:val="00213CD7"/>
    <w:rsid w:val="00213DF7"/>
    <w:rsid w:val="00214DAF"/>
    <w:rsid w:val="00215AE9"/>
    <w:rsid w:val="002261E7"/>
    <w:rsid w:val="0022769D"/>
    <w:rsid w:val="00227CE9"/>
    <w:rsid w:val="00231270"/>
    <w:rsid w:val="00234562"/>
    <w:rsid w:val="00236F96"/>
    <w:rsid w:val="00245EAD"/>
    <w:rsid w:val="00246A84"/>
    <w:rsid w:val="0025434C"/>
    <w:rsid w:val="00255B01"/>
    <w:rsid w:val="00256674"/>
    <w:rsid w:val="00257912"/>
    <w:rsid w:val="002619A7"/>
    <w:rsid w:val="00262185"/>
    <w:rsid w:val="00265B29"/>
    <w:rsid w:val="00272197"/>
    <w:rsid w:val="002741B9"/>
    <w:rsid w:val="0027530A"/>
    <w:rsid w:val="00275584"/>
    <w:rsid w:val="00276500"/>
    <w:rsid w:val="00281941"/>
    <w:rsid w:val="00284820"/>
    <w:rsid w:val="00285F18"/>
    <w:rsid w:val="00286186"/>
    <w:rsid w:val="00287215"/>
    <w:rsid w:val="002952B3"/>
    <w:rsid w:val="00296C87"/>
    <w:rsid w:val="002B1244"/>
    <w:rsid w:val="002B3BFA"/>
    <w:rsid w:val="002B3CCD"/>
    <w:rsid w:val="002D01C3"/>
    <w:rsid w:val="002D475F"/>
    <w:rsid w:val="002D5892"/>
    <w:rsid w:val="002E3179"/>
    <w:rsid w:val="002E775B"/>
    <w:rsid w:val="002F4650"/>
    <w:rsid w:val="002F48E8"/>
    <w:rsid w:val="002F4D58"/>
    <w:rsid w:val="002F4F13"/>
    <w:rsid w:val="002F4F81"/>
    <w:rsid w:val="002F5AC1"/>
    <w:rsid w:val="002F7470"/>
    <w:rsid w:val="00316695"/>
    <w:rsid w:val="0031739B"/>
    <w:rsid w:val="00336239"/>
    <w:rsid w:val="00340C2F"/>
    <w:rsid w:val="0034194C"/>
    <w:rsid w:val="003516DB"/>
    <w:rsid w:val="00352058"/>
    <w:rsid w:val="00353DF9"/>
    <w:rsid w:val="00357469"/>
    <w:rsid w:val="00357B47"/>
    <w:rsid w:val="00357ED1"/>
    <w:rsid w:val="003615E6"/>
    <w:rsid w:val="00361AC3"/>
    <w:rsid w:val="00361F99"/>
    <w:rsid w:val="00364835"/>
    <w:rsid w:val="00365DB2"/>
    <w:rsid w:val="00366F39"/>
    <w:rsid w:val="00375656"/>
    <w:rsid w:val="00393646"/>
    <w:rsid w:val="00393C04"/>
    <w:rsid w:val="00394BF3"/>
    <w:rsid w:val="003A1B15"/>
    <w:rsid w:val="003A1BC8"/>
    <w:rsid w:val="003B176C"/>
    <w:rsid w:val="003C2CBC"/>
    <w:rsid w:val="003C5DE6"/>
    <w:rsid w:val="003C5EA3"/>
    <w:rsid w:val="003C725C"/>
    <w:rsid w:val="003D4C60"/>
    <w:rsid w:val="003E0E6F"/>
    <w:rsid w:val="003E3EA9"/>
    <w:rsid w:val="003F6659"/>
    <w:rsid w:val="003F73C9"/>
    <w:rsid w:val="003F744C"/>
    <w:rsid w:val="0040526B"/>
    <w:rsid w:val="00420A14"/>
    <w:rsid w:val="00421434"/>
    <w:rsid w:val="0042472A"/>
    <w:rsid w:val="004250AE"/>
    <w:rsid w:val="00432486"/>
    <w:rsid w:val="00432B59"/>
    <w:rsid w:val="0043317A"/>
    <w:rsid w:val="004356EC"/>
    <w:rsid w:val="00435F04"/>
    <w:rsid w:val="004500EE"/>
    <w:rsid w:val="00452E69"/>
    <w:rsid w:val="00460960"/>
    <w:rsid w:val="0046604E"/>
    <w:rsid w:val="00466D78"/>
    <w:rsid w:val="00467172"/>
    <w:rsid w:val="004675F3"/>
    <w:rsid w:val="00467906"/>
    <w:rsid w:val="00471789"/>
    <w:rsid w:val="0047281B"/>
    <w:rsid w:val="0047589E"/>
    <w:rsid w:val="00475905"/>
    <w:rsid w:val="00476B71"/>
    <w:rsid w:val="004831F4"/>
    <w:rsid w:val="00487090"/>
    <w:rsid w:val="004913B7"/>
    <w:rsid w:val="00495768"/>
    <w:rsid w:val="00495957"/>
    <w:rsid w:val="004A1894"/>
    <w:rsid w:val="004A3811"/>
    <w:rsid w:val="004A4F45"/>
    <w:rsid w:val="004A573E"/>
    <w:rsid w:val="004A67D8"/>
    <w:rsid w:val="004A73D3"/>
    <w:rsid w:val="004B1870"/>
    <w:rsid w:val="004B2D6B"/>
    <w:rsid w:val="004B481E"/>
    <w:rsid w:val="004C2D91"/>
    <w:rsid w:val="004D0FC4"/>
    <w:rsid w:val="004D1250"/>
    <w:rsid w:val="004D23A5"/>
    <w:rsid w:val="004D3BAC"/>
    <w:rsid w:val="004D62B4"/>
    <w:rsid w:val="004D6999"/>
    <w:rsid w:val="004E141E"/>
    <w:rsid w:val="004E3C1B"/>
    <w:rsid w:val="004E5840"/>
    <w:rsid w:val="004E6DE3"/>
    <w:rsid w:val="004F2928"/>
    <w:rsid w:val="004F36CC"/>
    <w:rsid w:val="004F39C1"/>
    <w:rsid w:val="004F45E5"/>
    <w:rsid w:val="004F733D"/>
    <w:rsid w:val="0050259C"/>
    <w:rsid w:val="005175ED"/>
    <w:rsid w:val="00523051"/>
    <w:rsid w:val="00524AE7"/>
    <w:rsid w:val="00530E0C"/>
    <w:rsid w:val="005341F7"/>
    <w:rsid w:val="00534A3B"/>
    <w:rsid w:val="005425F2"/>
    <w:rsid w:val="00547F31"/>
    <w:rsid w:val="0055211A"/>
    <w:rsid w:val="00552CE1"/>
    <w:rsid w:val="0055486B"/>
    <w:rsid w:val="0056121E"/>
    <w:rsid w:val="00562735"/>
    <w:rsid w:val="00564E08"/>
    <w:rsid w:val="005653E3"/>
    <w:rsid w:val="00566153"/>
    <w:rsid w:val="005766F0"/>
    <w:rsid w:val="0058209C"/>
    <w:rsid w:val="00587F7C"/>
    <w:rsid w:val="00593869"/>
    <w:rsid w:val="00594653"/>
    <w:rsid w:val="005959C3"/>
    <w:rsid w:val="005A0EBA"/>
    <w:rsid w:val="005A62EB"/>
    <w:rsid w:val="005A672F"/>
    <w:rsid w:val="005B58C1"/>
    <w:rsid w:val="005B7E1C"/>
    <w:rsid w:val="005C475D"/>
    <w:rsid w:val="005C7D93"/>
    <w:rsid w:val="005E0EEA"/>
    <w:rsid w:val="005E29C8"/>
    <w:rsid w:val="005E2DAD"/>
    <w:rsid w:val="005E596C"/>
    <w:rsid w:val="005E72AB"/>
    <w:rsid w:val="005F18DB"/>
    <w:rsid w:val="005F52E7"/>
    <w:rsid w:val="005F5EBE"/>
    <w:rsid w:val="00606B57"/>
    <w:rsid w:val="00606FA2"/>
    <w:rsid w:val="00617EFD"/>
    <w:rsid w:val="00622017"/>
    <w:rsid w:val="00622C21"/>
    <w:rsid w:val="00625CD6"/>
    <w:rsid w:val="00633542"/>
    <w:rsid w:val="00636DBF"/>
    <w:rsid w:val="006413E0"/>
    <w:rsid w:val="00647E6A"/>
    <w:rsid w:val="00651991"/>
    <w:rsid w:val="00655EC1"/>
    <w:rsid w:val="00656BD3"/>
    <w:rsid w:val="00660E62"/>
    <w:rsid w:val="00662B60"/>
    <w:rsid w:val="00664216"/>
    <w:rsid w:val="006666E9"/>
    <w:rsid w:val="00670C14"/>
    <w:rsid w:val="00672BF8"/>
    <w:rsid w:val="0068079A"/>
    <w:rsid w:val="006830B6"/>
    <w:rsid w:val="006836A0"/>
    <w:rsid w:val="00690A7E"/>
    <w:rsid w:val="00692F1D"/>
    <w:rsid w:val="0069401D"/>
    <w:rsid w:val="0069600B"/>
    <w:rsid w:val="00696914"/>
    <w:rsid w:val="00697258"/>
    <w:rsid w:val="006A69D7"/>
    <w:rsid w:val="006B2FC5"/>
    <w:rsid w:val="006B3641"/>
    <w:rsid w:val="006B4569"/>
    <w:rsid w:val="006B6253"/>
    <w:rsid w:val="006C45E5"/>
    <w:rsid w:val="006D5973"/>
    <w:rsid w:val="006D6318"/>
    <w:rsid w:val="006D670E"/>
    <w:rsid w:val="006E1357"/>
    <w:rsid w:val="006E7333"/>
    <w:rsid w:val="006E7918"/>
    <w:rsid w:val="006F518D"/>
    <w:rsid w:val="007072C2"/>
    <w:rsid w:val="00711E0C"/>
    <w:rsid w:val="00712B87"/>
    <w:rsid w:val="007213F7"/>
    <w:rsid w:val="00722039"/>
    <w:rsid w:val="00724516"/>
    <w:rsid w:val="007259D5"/>
    <w:rsid w:val="0072752D"/>
    <w:rsid w:val="00730E51"/>
    <w:rsid w:val="00731965"/>
    <w:rsid w:val="00734190"/>
    <w:rsid w:val="00735BCB"/>
    <w:rsid w:val="0073720E"/>
    <w:rsid w:val="007378A7"/>
    <w:rsid w:val="007447AB"/>
    <w:rsid w:val="00747DAB"/>
    <w:rsid w:val="0075456C"/>
    <w:rsid w:val="00755D9A"/>
    <w:rsid w:val="00762622"/>
    <w:rsid w:val="00787134"/>
    <w:rsid w:val="007A3824"/>
    <w:rsid w:val="007B076C"/>
    <w:rsid w:val="007B0CAD"/>
    <w:rsid w:val="007B3ACB"/>
    <w:rsid w:val="007C0C66"/>
    <w:rsid w:val="007C10BD"/>
    <w:rsid w:val="007C179F"/>
    <w:rsid w:val="007C1BDC"/>
    <w:rsid w:val="007C28ED"/>
    <w:rsid w:val="007C3F69"/>
    <w:rsid w:val="007D37F6"/>
    <w:rsid w:val="007D4355"/>
    <w:rsid w:val="007D438F"/>
    <w:rsid w:val="007D6DA2"/>
    <w:rsid w:val="007F3E08"/>
    <w:rsid w:val="007F46B8"/>
    <w:rsid w:val="007F656E"/>
    <w:rsid w:val="007F7DE0"/>
    <w:rsid w:val="00803BD4"/>
    <w:rsid w:val="00805006"/>
    <w:rsid w:val="008071D7"/>
    <w:rsid w:val="0081079D"/>
    <w:rsid w:val="0082035F"/>
    <w:rsid w:val="00825902"/>
    <w:rsid w:val="00825D28"/>
    <w:rsid w:val="00826FE1"/>
    <w:rsid w:val="008362DD"/>
    <w:rsid w:val="00837449"/>
    <w:rsid w:val="008440E1"/>
    <w:rsid w:val="00844FF0"/>
    <w:rsid w:val="008453D8"/>
    <w:rsid w:val="008515A5"/>
    <w:rsid w:val="0085287C"/>
    <w:rsid w:val="00853C80"/>
    <w:rsid w:val="00853EB5"/>
    <w:rsid w:val="00854C67"/>
    <w:rsid w:val="00856813"/>
    <w:rsid w:val="0085772C"/>
    <w:rsid w:val="00861113"/>
    <w:rsid w:val="00870260"/>
    <w:rsid w:val="008711CA"/>
    <w:rsid w:val="00871406"/>
    <w:rsid w:val="00881AFB"/>
    <w:rsid w:val="0088441A"/>
    <w:rsid w:val="0088538A"/>
    <w:rsid w:val="00891FAA"/>
    <w:rsid w:val="008A7246"/>
    <w:rsid w:val="008C3612"/>
    <w:rsid w:val="008D6F27"/>
    <w:rsid w:val="008D7751"/>
    <w:rsid w:val="008E4A02"/>
    <w:rsid w:val="008E5881"/>
    <w:rsid w:val="008E5B54"/>
    <w:rsid w:val="008F7FB2"/>
    <w:rsid w:val="009018E2"/>
    <w:rsid w:val="00903A47"/>
    <w:rsid w:val="00913B2C"/>
    <w:rsid w:val="0091489F"/>
    <w:rsid w:val="009175BA"/>
    <w:rsid w:val="0092111B"/>
    <w:rsid w:val="00921848"/>
    <w:rsid w:val="009263FA"/>
    <w:rsid w:val="00926DA8"/>
    <w:rsid w:val="00934B06"/>
    <w:rsid w:val="009360FC"/>
    <w:rsid w:val="009400F7"/>
    <w:rsid w:val="00950556"/>
    <w:rsid w:val="009521B2"/>
    <w:rsid w:val="00953159"/>
    <w:rsid w:val="00955EF3"/>
    <w:rsid w:val="00956D28"/>
    <w:rsid w:val="009610F9"/>
    <w:rsid w:val="00961A20"/>
    <w:rsid w:val="00963F33"/>
    <w:rsid w:val="00973E4A"/>
    <w:rsid w:val="00981CA8"/>
    <w:rsid w:val="00984D49"/>
    <w:rsid w:val="00997515"/>
    <w:rsid w:val="009A2375"/>
    <w:rsid w:val="009A35EB"/>
    <w:rsid w:val="009B7B85"/>
    <w:rsid w:val="009C133C"/>
    <w:rsid w:val="009C1F12"/>
    <w:rsid w:val="009C476C"/>
    <w:rsid w:val="009E424B"/>
    <w:rsid w:val="009F0018"/>
    <w:rsid w:val="009F31E0"/>
    <w:rsid w:val="009F3293"/>
    <w:rsid w:val="009F3C3C"/>
    <w:rsid w:val="009F56EE"/>
    <w:rsid w:val="009F7964"/>
    <w:rsid w:val="009F7F76"/>
    <w:rsid w:val="00A03055"/>
    <w:rsid w:val="00A067B5"/>
    <w:rsid w:val="00A11BB2"/>
    <w:rsid w:val="00A25CBE"/>
    <w:rsid w:val="00A2662B"/>
    <w:rsid w:val="00A33455"/>
    <w:rsid w:val="00A359CE"/>
    <w:rsid w:val="00A371C4"/>
    <w:rsid w:val="00A47ECF"/>
    <w:rsid w:val="00A5075E"/>
    <w:rsid w:val="00A532BA"/>
    <w:rsid w:val="00A55670"/>
    <w:rsid w:val="00A60BAE"/>
    <w:rsid w:val="00A65ABB"/>
    <w:rsid w:val="00A81D4A"/>
    <w:rsid w:val="00A91085"/>
    <w:rsid w:val="00AA10C4"/>
    <w:rsid w:val="00AA20F3"/>
    <w:rsid w:val="00AA2550"/>
    <w:rsid w:val="00AA40B6"/>
    <w:rsid w:val="00AB0A1E"/>
    <w:rsid w:val="00AB5D80"/>
    <w:rsid w:val="00AB5FCF"/>
    <w:rsid w:val="00AD1A4F"/>
    <w:rsid w:val="00AD1F8A"/>
    <w:rsid w:val="00AE1FD2"/>
    <w:rsid w:val="00AE3673"/>
    <w:rsid w:val="00AE374A"/>
    <w:rsid w:val="00AF0636"/>
    <w:rsid w:val="00AF27B1"/>
    <w:rsid w:val="00AF52CF"/>
    <w:rsid w:val="00B07C2F"/>
    <w:rsid w:val="00B10594"/>
    <w:rsid w:val="00B108FA"/>
    <w:rsid w:val="00B11F95"/>
    <w:rsid w:val="00B123C7"/>
    <w:rsid w:val="00B12BF1"/>
    <w:rsid w:val="00B13848"/>
    <w:rsid w:val="00B17BFE"/>
    <w:rsid w:val="00B2176D"/>
    <w:rsid w:val="00B30BFC"/>
    <w:rsid w:val="00B32107"/>
    <w:rsid w:val="00B32986"/>
    <w:rsid w:val="00B35929"/>
    <w:rsid w:val="00B36EA6"/>
    <w:rsid w:val="00B41EBD"/>
    <w:rsid w:val="00B470A4"/>
    <w:rsid w:val="00B5115D"/>
    <w:rsid w:val="00B53CDF"/>
    <w:rsid w:val="00B64D62"/>
    <w:rsid w:val="00B66C26"/>
    <w:rsid w:val="00B7385D"/>
    <w:rsid w:val="00B80C3B"/>
    <w:rsid w:val="00B839BA"/>
    <w:rsid w:val="00B86956"/>
    <w:rsid w:val="00B86AEE"/>
    <w:rsid w:val="00B91480"/>
    <w:rsid w:val="00B927DF"/>
    <w:rsid w:val="00B92903"/>
    <w:rsid w:val="00B94678"/>
    <w:rsid w:val="00B96011"/>
    <w:rsid w:val="00B969F3"/>
    <w:rsid w:val="00B96FB9"/>
    <w:rsid w:val="00B97D82"/>
    <w:rsid w:val="00BA0396"/>
    <w:rsid w:val="00BA42F3"/>
    <w:rsid w:val="00BA5134"/>
    <w:rsid w:val="00BB2012"/>
    <w:rsid w:val="00BB3168"/>
    <w:rsid w:val="00BB4E3A"/>
    <w:rsid w:val="00BD163F"/>
    <w:rsid w:val="00BD402A"/>
    <w:rsid w:val="00BD6658"/>
    <w:rsid w:val="00BD679F"/>
    <w:rsid w:val="00BE4404"/>
    <w:rsid w:val="00BE6E2C"/>
    <w:rsid w:val="00BF0FBC"/>
    <w:rsid w:val="00BF3817"/>
    <w:rsid w:val="00C00DE0"/>
    <w:rsid w:val="00C01AEA"/>
    <w:rsid w:val="00C02A08"/>
    <w:rsid w:val="00C03249"/>
    <w:rsid w:val="00C1007A"/>
    <w:rsid w:val="00C10159"/>
    <w:rsid w:val="00C12B5B"/>
    <w:rsid w:val="00C2504C"/>
    <w:rsid w:val="00C278CD"/>
    <w:rsid w:val="00C27B4C"/>
    <w:rsid w:val="00C300C3"/>
    <w:rsid w:val="00C366E8"/>
    <w:rsid w:val="00C36E33"/>
    <w:rsid w:val="00C40173"/>
    <w:rsid w:val="00C40AF9"/>
    <w:rsid w:val="00C44A88"/>
    <w:rsid w:val="00C44E0D"/>
    <w:rsid w:val="00C56135"/>
    <w:rsid w:val="00C607E2"/>
    <w:rsid w:val="00C638EA"/>
    <w:rsid w:val="00C64445"/>
    <w:rsid w:val="00C709C4"/>
    <w:rsid w:val="00C72C7C"/>
    <w:rsid w:val="00C73E4B"/>
    <w:rsid w:val="00C759D7"/>
    <w:rsid w:val="00C7680E"/>
    <w:rsid w:val="00C76BF7"/>
    <w:rsid w:val="00C76FAB"/>
    <w:rsid w:val="00C77813"/>
    <w:rsid w:val="00C77875"/>
    <w:rsid w:val="00C862D5"/>
    <w:rsid w:val="00C86895"/>
    <w:rsid w:val="00C872BE"/>
    <w:rsid w:val="00C92AC7"/>
    <w:rsid w:val="00C93E68"/>
    <w:rsid w:val="00C95E80"/>
    <w:rsid w:val="00CA1A93"/>
    <w:rsid w:val="00CB19AB"/>
    <w:rsid w:val="00CB3883"/>
    <w:rsid w:val="00CB5B77"/>
    <w:rsid w:val="00CC1116"/>
    <w:rsid w:val="00CC33F4"/>
    <w:rsid w:val="00CD5EC0"/>
    <w:rsid w:val="00CE33AF"/>
    <w:rsid w:val="00CE4761"/>
    <w:rsid w:val="00CE4FE5"/>
    <w:rsid w:val="00CE72E3"/>
    <w:rsid w:val="00CE7736"/>
    <w:rsid w:val="00CF17FD"/>
    <w:rsid w:val="00CF2A23"/>
    <w:rsid w:val="00CF4E91"/>
    <w:rsid w:val="00CF5C1F"/>
    <w:rsid w:val="00CF6FB2"/>
    <w:rsid w:val="00D01A94"/>
    <w:rsid w:val="00D0605F"/>
    <w:rsid w:val="00D065B6"/>
    <w:rsid w:val="00D104F4"/>
    <w:rsid w:val="00D10C58"/>
    <w:rsid w:val="00D162DE"/>
    <w:rsid w:val="00D163B5"/>
    <w:rsid w:val="00D20124"/>
    <w:rsid w:val="00D20554"/>
    <w:rsid w:val="00D2198C"/>
    <w:rsid w:val="00D24E03"/>
    <w:rsid w:val="00D276B6"/>
    <w:rsid w:val="00D3034F"/>
    <w:rsid w:val="00D305EF"/>
    <w:rsid w:val="00D33040"/>
    <w:rsid w:val="00D3482D"/>
    <w:rsid w:val="00D4662D"/>
    <w:rsid w:val="00D63C9D"/>
    <w:rsid w:val="00D7215C"/>
    <w:rsid w:val="00D76557"/>
    <w:rsid w:val="00D9048A"/>
    <w:rsid w:val="00D95118"/>
    <w:rsid w:val="00DA45F7"/>
    <w:rsid w:val="00DA4EFA"/>
    <w:rsid w:val="00DC10C7"/>
    <w:rsid w:val="00DC14A7"/>
    <w:rsid w:val="00DC15CC"/>
    <w:rsid w:val="00DD2E3A"/>
    <w:rsid w:val="00DE0BA2"/>
    <w:rsid w:val="00DE0CA1"/>
    <w:rsid w:val="00DF0319"/>
    <w:rsid w:val="00DF2B72"/>
    <w:rsid w:val="00DF499D"/>
    <w:rsid w:val="00E03B6A"/>
    <w:rsid w:val="00E03C91"/>
    <w:rsid w:val="00E1054B"/>
    <w:rsid w:val="00E10E50"/>
    <w:rsid w:val="00E1229F"/>
    <w:rsid w:val="00E15302"/>
    <w:rsid w:val="00E15850"/>
    <w:rsid w:val="00E30BDA"/>
    <w:rsid w:val="00E35DFD"/>
    <w:rsid w:val="00E3753C"/>
    <w:rsid w:val="00E46F63"/>
    <w:rsid w:val="00E50D77"/>
    <w:rsid w:val="00E50F49"/>
    <w:rsid w:val="00E544E8"/>
    <w:rsid w:val="00E57445"/>
    <w:rsid w:val="00E65DE7"/>
    <w:rsid w:val="00E67397"/>
    <w:rsid w:val="00E67CB0"/>
    <w:rsid w:val="00E71ADE"/>
    <w:rsid w:val="00E71DE0"/>
    <w:rsid w:val="00E724F5"/>
    <w:rsid w:val="00E77972"/>
    <w:rsid w:val="00E81CF2"/>
    <w:rsid w:val="00E82879"/>
    <w:rsid w:val="00E928BC"/>
    <w:rsid w:val="00EA11CA"/>
    <w:rsid w:val="00EA25F2"/>
    <w:rsid w:val="00EA6E94"/>
    <w:rsid w:val="00EB04C1"/>
    <w:rsid w:val="00EB4CE4"/>
    <w:rsid w:val="00EB660B"/>
    <w:rsid w:val="00EB762F"/>
    <w:rsid w:val="00EC306A"/>
    <w:rsid w:val="00EC56B6"/>
    <w:rsid w:val="00ED46A6"/>
    <w:rsid w:val="00ED5AB6"/>
    <w:rsid w:val="00ED5F3C"/>
    <w:rsid w:val="00ED6522"/>
    <w:rsid w:val="00ED7BF8"/>
    <w:rsid w:val="00EE2E50"/>
    <w:rsid w:val="00EE2E95"/>
    <w:rsid w:val="00EF0F7E"/>
    <w:rsid w:val="00F002CE"/>
    <w:rsid w:val="00F04078"/>
    <w:rsid w:val="00F30416"/>
    <w:rsid w:val="00F311D0"/>
    <w:rsid w:val="00F31694"/>
    <w:rsid w:val="00F37B36"/>
    <w:rsid w:val="00F42AEB"/>
    <w:rsid w:val="00F45230"/>
    <w:rsid w:val="00F474E5"/>
    <w:rsid w:val="00F50CE7"/>
    <w:rsid w:val="00F53C30"/>
    <w:rsid w:val="00F634F1"/>
    <w:rsid w:val="00F63DA7"/>
    <w:rsid w:val="00F70E1D"/>
    <w:rsid w:val="00F73D7E"/>
    <w:rsid w:val="00F74F43"/>
    <w:rsid w:val="00F753E0"/>
    <w:rsid w:val="00F81D4D"/>
    <w:rsid w:val="00F86181"/>
    <w:rsid w:val="00F876AD"/>
    <w:rsid w:val="00F90F8F"/>
    <w:rsid w:val="00FA22A3"/>
    <w:rsid w:val="00FA2754"/>
    <w:rsid w:val="00FA5441"/>
    <w:rsid w:val="00FA60A9"/>
    <w:rsid w:val="00FC05D0"/>
    <w:rsid w:val="00FC16B2"/>
    <w:rsid w:val="00FC1F9E"/>
    <w:rsid w:val="00FC3069"/>
    <w:rsid w:val="00FC42BB"/>
    <w:rsid w:val="00FC6A1C"/>
    <w:rsid w:val="00FD07E1"/>
    <w:rsid w:val="00FD4ABA"/>
    <w:rsid w:val="00FE568F"/>
    <w:rsid w:val="00FE7438"/>
    <w:rsid w:val="00FF02F5"/>
    <w:rsid w:val="00FF0E98"/>
    <w:rsid w:val="00FF4607"/>
    <w:rsid w:val="00FF58D5"/>
    <w:rsid w:val="00FF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9C3"/>
    <w:rPr>
      <w:rFonts w:ascii="Arial" w:hAnsi="Arial"/>
      <w:sz w:val="24"/>
      <w:szCs w:val="24"/>
    </w:rPr>
  </w:style>
  <w:style w:type="paragraph" w:styleId="Heading1">
    <w:name w:val="heading 1"/>
    <w:basedOn w:val="Normal"/>
    <w:next w:val="Normal"/>
    <w:qFormat/>
    <w:rsid w:val="0000028B"/>
    <w:pPr>
      <w:keepNext/>
      <w:numPr>
        <w:numId w:val="1"/>
      </w:numPr>
      <w:tabs>
        <w:tab w:val="left" w:pos="2160"/>
        <w:tab w:val="left" w:pos="3330"/>
        <w:tab w:val="left" w:pos="4230"/>
      </w:tabs>
      <w:spacing w:before="100" w:beforeAutospacing="1" w:after="120"/>
      <w:outlineLvl w:val="0"/>
    </w:pPr>
    <w:rPr>
      <w:rFonts w:ascii="Arial Narrow" w:hAnsi="Arial Narrow"/>
      <w:b/>
      <w:bCs/>
    </w:rPr>
  </w:style>
  <w:style w:type="paragraph" w:styleId="Heading2">
    <w:name w:val="heading 2"/>
    <w:basedOn w:val="Normal"/>
    <w:next w:val="Normal"/>
    <w:qFormat/>
    <w:rsid w:val="0000028B"/>
    <w:pPr>
      <w:keepNext/>
      <w:autoSpaceDE w:val="0"/>
      <w:autoSpaceDN w:val="0"/>
      <w:adjustRightInd w:val="0"/>
      <w:outlineLvl w:val="1"/>
    </w:pPr>
    <w:rPr>
      <w:rFonts w:ascii="Impact" w:hAnsi="Impact"/>
      <w:b/>
      <w:bCs/>
      <w:color w:val="B2B2B2"/>
      <w:sz w:val="36"/>
      <w:szCs w:val="48"/>
    </w:rPr>
  </w:style>
  <w:style w:type="paragraph" w:styleId="Heading3">
    <w:name w:val="heading 3"/>
    <w:basedOn w:val="Normal"/>
    <w:next w:val="Normal"/>
    <w:qFormat/>
    <w:rsid w:val="0000028B"/>
    <w:pPr>
      <w:keepNext/>
      <w:outlineLvl w:val="2"/>
    </w:pPr>
    <w:rPr>
      <w:rFonts w:ascii="Arial Narrow" w:hAnsi="Arial Narrow"/>
      <w:b/>
      <w:bCs/>
      <w:u w:val="single"/>
    </w:rPr>
  </w:style>
  <w:style w:type="paragraph" w:styleId="Heading4">
    <w:name w:val="heading 4"/>
    <w:basedOn w:val="Normal"/>
    <w:next w:val="Normal"/>
    <w:qFormat/>
    <w:rsid w:val="0000028B"/>
    <w:pPr>
      <w:keepNext/>
      <w:tabs>
        <w:tab w:val="left" w:pos="2160"/>
        <w:tab w:val="left" w:pos="3330"/>
        <w:tab w:val="left" w:pos="4230"/>
      </w:tabs>
      <w:spacing w:before="100" w:beforeAutospacing="1" w:after="120"/>
      <w:outlineLvl w:val="3"/>
    </w:pPr>
    <w:rPr>
      <w:rFonts w:ascii="Arial Narrow" w:hAnsi="Arial Narrow" w:cs="Arial"/>
      <w:i/>
      <w:iCs/>
    </w:rPr>
  </w:style>
  <w:style w:type="paragraph" w:styleId="Heading5">
    <w:name w:val="heading 5"/>
    <w:basedOn w:val="Normal"/>
    <w:next w:val="Normal"/>
    <w:qFormat/>
    <w:rsid w:val="00031E82"/>
    <w:pPr>
      <w:spacing w:before="240" w:after="60"/>
      <w:outlineLvl w:val="4"/>
    </w:pPr>
    <w:rPr>
      <w:b/>
      <w:bCs/>
      <w:i/>
      <w:iCs/>
      <w:sz w:val="26"/>
      <w:szCs w:val="26"/>
    </w:rPr>
  </w:style>
  <w:style w:type="paragraph" w:styleId="Heading7">
    <w:name w:val="heading 7"/>
    <w:basedOn w:val="Normal"/>
    <w:next w:val="Normal"/>
    <w:link w:val="Heading7Char"/>
    <w:semiHidden/>
    <w:unhideWhenUsed/>
    <w:qFormat/>
    <w:rsid w:val="00B17B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0028B"/>
    <w:pPr>
      <w:ind w:left="360"/>
    </w:pPr>
  </w:style>
  <w:style w:type="paragraph" w:styleId="Header">
    <w:name w:val="header"/>
    <w:basedOn w:val="Normal"/>
    <w:rsid w:val="0000028B"/>
    <w:pPr>
      <w:tabs>
        <w:tab w:val="center" w:pos="4320"/>
        <w:tab w:val="right" w:pos="8640"/>
      </w:tabs>
    </w:pPr>
  </w:style>
  <w:style w:type="paragraph" w:styleId="Footer">
    <w:name w:val="footer"/>
    <w:basedOn w:val="Normal"/>
    <w:rsid w:val="0000028B"/>
    <w:pPr>
      <w:tabs>
        <w:tab w:val="center" w:pos="4320"/>
        <w:tab w:val="right" w:pos="8640"/>
      </w:tabs>
    </w:pPr>
  </w:style>
  <w:style w:type="character" w:styleId="PageNumber">
    <w:name w:val="page number"/>
    <w:basedOn w:val="DefaultParagraphFont"/>
    <w:rsid w:val="0000028B"/>
  </w:style>
  <w:style w:type="paragraph" w:styleId="BodyText">
    <w:name w:val="Body Text"/>
    <w:basedOn w:val="Normal"/>
    <w:rsid w:val="0000028B"/>
    <w:pPr>
      <w:jc w:val="both"/>
    </w:pPr>
    <w:rPr>
      <w:sz w:val="22"/>
    </w:rPr>
  </w:style>
  <w:style w:type="paragraph" w:styleId="BodyTextIndent3">
    <w:name w:val="Body Text Indent 3"/>
    <w:basedOn w:val="Normal"/>
    <w:rsid w:val="0000028B"/>
    <w:pPr>
      <w:spacing w:after="120"/>
      <w:ind w:left="2160" w:hanging="720"/>
      <w:jc w:val="both"/>
    </w:pPr>
    <w:rPr>
      <w:bCs/>
      <w:szCs w:val="20"/>
    </w:rPr>
  </w:style>
  <w:style w:type="paragraph" w:styleId="BalloonText">
    <w:name w:val="Balloon Text"/>
    <w:basedOn w:val="Normal"/>
    <w:semiHidden/>
    <w:rsid w:val="00EE2E50"/>
    <w:rPr>
      <w:rFonts w:ascii="Tahoma" w:hAnsi="Tahoma" w:cs="Tahoma"/>
      <w:sz w:val="16"/>
      <w:szCs w:val="16"/>
    </w:rPr>
  </w:style>
  <w:style w:type="paragraph" w:styleId="ListParagraph">
    <w:name w:val="List Paragraph"/>
    <w:basedOn w:val="Normal"/>
    <w:uiPriority w:val="34"/>
    <w:qFormat/>
    <w:rsid w:val="00973E4A"/>
    <w:pPr>
      <w:ind w:left="720"/>
    </w:pPr>
  </w:style>
  <w:style w:type="paragraph" w:styleId="Caption">
    <w:name w:val="caption"/>
    <w:basedOn w:val="Normal"/>
    <w:next w:val="Normal"/>
    <w:qFormat/>
    <w:rsid w:val="00B17BFE"/>
    <w:pPr>
      <w:ind w:firstLine="720"/>
    </w:pPr>
    <w:rPr>
      <w:b/>
      <w:szCs w:val="20"/>
      <w:u w:val="single"/>
    </w:rPr>
  </w:style>
  <w:style w:type="character" w:customStyle="1" w:styleId="Heading7Char">
    <w:name w:val="Heading 7 Char"/>
    <w:basedOn w:val="DefaultParagraphFont"/>
    <w:link w:val="Heading7"/>
    <w:semiHidden/>
    <w:rsid w:val="00B17BFE"/>
    <w:rPr>
      <w:rFonts w:ascii="Calibri" w:eastAsia="Times New Roman" w:hAnsi="Calibri" w:cs="Times New Roman"/>
      <w:sz w:val="24"/>
      <w:szCs w:val="24"/>
    </w:rPr>
  </w:style>
  <w:style w:type="character" w:customStyle="1" w:styleId="apple-style-span">
    <w:name w:val="apple-style-span"/>
    <w:basedOn w:val="DefaultParagraphFont"/>
    <w:rsid w:val="003F744C"/>
  </w:style>
  <w:style w:type="character" w:customStyle="1" w:styleId="apple-converted-space">
    <w:name w:val="apple-converted-space"/>
    <w:basedOn w:val="DefaultParagraphFont"/>
    <w:rsid w:val="003F744C"/>
  </w:style>
  <w:style w:type="character" w:styleId="Hyperlink">
    <w:name w:val="Hyperlink"/>
    <w:basedOn w:val="DefaultParagraphFont"/>
    <w:uiPriority w:val="99"/>
    <w:unhideWhenUsed/>
    <w:rsid w:val="003F744C"/>
    <w:rPr>
      <w:color w:val="0000FF"/>
      <w:u w:val="single"/>
    </w:rPr>
  </w:style>
  <w:style w:type="paragraph" w:styleId="NormalWeb">
    <w:name w:val="Normal (Web)"/>
    <w:basedOn w:val="Normal"/>
    <w:uiPriority w:val="99"/>
    <w:unhideWhenUsed/>
    <w:rsid w:val="0046604E"/>
    <w:pPr>
      <w:spacing w:after="187"/>
      <w:ind w:left="206" w:right="187"/>
    </w:pPr>
    <w:rPr>
      <w:rFonts w:cs="Arial"/>
      <w:color w:val="333333"/>
      <w:sz w:val="22"/>
      <w:szCs w:val="22"/>
    </w:rPr>
  </w:style>
  <w:style w:type="paragraph" w:customStyle="1" w:styleId="bodytext0">
    <w:name w:val="bodytext"/>
    <w:basedOn w:val="Normal"/>
    <w:rsid w:val="00420A14"/>
    <w:pPr>
      <w:spacing w:before="100" w:beforeAutospacing="1" w:after="100" w:afterAutospacing="1"/>
      <w:ind w:left="144"/>
    </w:pPr>
    <w:rPr>
      <w:rFonts w:cs="Arial"/>
      <w:color w:val="000000"/>
    </w:rPr>
  </w:style>
  <w:style w:type="paragraph" w:styleId="NoSpacing">
    <w:name w:val="No Spacing"/>
    <w:uiPriority w:val="1"/>
    <w:qFormat/>
    <w:rsid w:val="00265B29"/>
    <w:rPr>
      <w:rFonts w:asciiTheme="minorHAnsi" w:eastAsiaTheme="minorHAnsi" w:hAnsiTheme="minorHAnsi" w:cstheme="minorBidi"/>
      <w:sz w:val="22"/>
      <w:szCs w:val="22"/>
    </w:rPr>
  </w:style>
  <w:style w:type="character" w:styleId="FollowedHyperlink">
    <w:name w:val="FollowedHyperlink"/>
    <w:basedOn w:val="DefaultParagraphFont"/>
    <w:rsid w:val="001242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9C3"/>
    <w:rPr>
      <w:rFonts w:ascii="Arial" w:hAnsi="Arial"/>
      <w:sz w:val="24"/>
      <w:szCs w:val="24"/>
    </w:rPr>
  </w:style>
  <w:style w:type="paragraph" w:styleId="Heading1">
    <w:name w:val="heading 1"/>
    <w:basedOn w:val="Normal"/>
    <w:next w:val="Normal"/>
    <w:qFormat/>
    <w:rsid w:val="0000028B"/>
    <w:pPr>
      <w:keepNext/>
      <w:numPr>
        <w:numId w:val="1"/>
      </w:numPr>
      <w:tabs>
        <w:tab w:val="left" w:pos="2160"/>
        <w:tab w:val="left" w:pos="3330"/>
        <w:tab w:val="left" w:pos="4230"/>
      </w:tabs>
      <w:spacing w:before="100" w:beforeAutospacing="1" w:after="120"/>
      <w:outlineLvl w:val="0"/>
    </w:pPr>
    <w:rPr>
      <w:rFonts w:ascii="Arial Narrow" w:hAnsi="Arial Narrow"/>
      <w:b/>
      <w:bCs/>
    </w:rPr>
  </w:style>
  <w:style w:type="paragraph" w:styleId="Heading2">
    <w:name w:val="heading 2"/>
    <w:basedOn w:val="Normal"/>
    <w:next w:val="Normal"/>
    <w:qFormat/>
    <w:rsid w:val="0000028B"/>
    <w:pPr>
      <w:keepNext/>
      <w:autoSpaceDE w:val="0"/>
      <w:autoSpaceDN w:val="0"/>
      <w:adjustRightInd w:val="0"/>
      <w:outlineLvl w:val="1"/>
    </w:pPr>
    <w:rPr>
      <w:rFonts w:ascii="Impact" w:hAnsi="Impact"/>
      <w:b/>
      <w:bCs/>
      <w:color w:val="B2B2B2"/>
      <w:sz w:val="36"/>
      <w:szCs w:val="48"/>
    </w:rPr>
  </w:style>
  <w:style w:type="paragraph" w:styleId="Heading3">
    <w:name w:val="heading 3"/>
    <w:basedOn w:val="Normal"/>
    <w:next w:val="Normal"/>
    <w:qFormat/>
    <w:rsid w:val="0000028B"/>
    <w:pPr>
      <w:keepNext/>
      <w:outlineLvl w:val="2"/>
    </w:pPr>
    <w:rPr>
      <w:rFonts w:ascii="Arial Narrow" w:hAnsi="Arial Narrow"/>
      <w:b/>
      <w:bCs/>
      <w:u w:val="single"/>
    </w:rPr>
  </w:style>
  <w:style w:type="paragraph" w:styleId="Heading4">
    <w:name w:val="heading 4"/>
    <w:basedOn w:val="Normal"/>
    <w:next w:val="Normal"/>
    <w:qFormat/>
    <w:rsid w:val="0000028B"/>
    <w:pPr>
      <w:keepNext/>
      <w:tabs>
        <w:tab w:val="left" w:pos="2160"/>
        <w:tab w:val="left" w:pos="3330"/>
        <w:tab w:val="left" w:pos="4230"/>
      </w:tabs>
      <w:spacing w:before="100" w:beforeAutospacing="1" w:after="120"/>
      <w:outlineLvl w:val="3"/>
    </w:pPr>
    <w:rPr>
      <w:rFonts w:ascii="Arial Narrow" w:hAnsi="Arial Narrow" w:cs="Arial"/>
      <w:i/>
      <w:iCs/>
    </w:rPr>
  </w:style>
  <w:style w:type="paragraph" w:styleId="Heading5">
    <w:name w:val="heading 5"/>
    <w:basedOn w:val="Normal"/>
    <w:next w:val="Normal"/>
    <w:qFormat/>
    <w:rsid w:val="00031E82"/>
    <w:pPr>
      <w:spacing w:before="240" w:after="60"/>
      <w:outlineLvl w:val="4"/>
    </w:pPr>
    <w:rPr>
      <w:b/>
      <w:bCs/>
      <w:i/>
      <w:iCs/>
      <w:sz w:val="26"/>
      <w:szCs w:val="26"/>
    </w:rPr>
  </w:style>
  <w:style w:type="paragraph" w:styleId="Heading7">
    <w:name w:val="heading 7"/>
    <w:basedOn w:val="Normal"/>
    <w:next w:val="Normal"/>
    <w:link w:val="Heading7Char"/>
    <w:semiHidden/>
    <w:unhideWhenUsed/>
    <w:qFormat/>
    <w:rsid w:val="00B17B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0028B"/>
    <w:pPr>
      <w:ind w:left="360"/>
    </w:pPr>
  </w:style>
  <w:style w:type="paragraph" w:styleId="Header">
    <w:name w:val="header"/>
    <w:basedOn w:val="Normal"/>
    <w:rsid w:val="0000028B"/>
    <w:pPr>
      <w:tabs>
        <w:tab w:val="center" w:pos="4320"/>
        <w:tab w:val="right" w:pos="8640"/>
      </w:tabs>
    </w:pPr>
  </w:style>
  <w:style w:type="paragraph" w:styleId="Footer">
    <w:name w:val="footer"/>
    <w:basedOn w:val="Normal"/>
    <w:rsid w:val="0000028B"/>
    <w:pPr>
      <w:tabs>
        <w:tab w:val="center" w:pos="4320"/>
        <w:tab w:val="right" w:pos="8640"/>
      </w:tabs>
    </w:pPr>
  </w:style>
  <w:style w:type="character" w:styleId="PageNumber">
    <w:name w:val="page number"/>
    <w:basedOn w:val="DefaultParagraphFont"/>
    <w:rsid w:val="0000028B"/>
  </w:style>
  <w:style w:type="paragraph" w:styleId="BodyText">
    <w:name w:val="Body Text"/>
    <w:basedOn w:val="Normal"/>
    <w:rsid w:val="0000028B"/>
    <w:pPr>
      <w:jc w:val="both"/>
    </w:pPr>
    <w:rPr>
      <w:sz w:val="22"/>
    </w:rPr>
  </w:style>
  <w:style w:type="paragraph" w:styleId="BodyTextIndent3">
    <w:name w:val="Body Text Indent 3"/>
    <w:basedOn w:val="Normal"/>
    <w:rsid w:val="0000028B"/>
    <w:pPr>
      <w:spacing w:after="120"/>
      <w:ind w:left="2160" w:hanging="720"/>
      <w:jc w:val="both"/>
    </w:pPr>
    <w:rPr>
      <w:bCs/>
      <w:szCs w:val="20"/>
    </w:rPr>
  </w:style>
  <w:style w:type="paragraph" w:styleId="BalloonText">
    <w:name w:val="Balloon Text"/>
    <w:basedOn w:val="Normal"/>
    <w:semiHidden/>
    <w:rsid w:val="00EE2E50"/>
    <w:rPr>
      <w:rFonts w:ascii="Tahoma" w:hAnsi="Tahoma" w:cs="Tahoma"/>
      <w:sz w:val="16"/>
      <w:szCs w:val="16"/>
    </w:rPr>
  </w:style>
  <w:style w:type="paragraph" w:styleId="ListParagraph">
    <w:name w:val="List Paragraph"/>
    <w:basedOn w:val="Normal"/>
    <w:uiPriority w:val="34"/>
    <w:qFormat/>
    <w:rsid w:val="00973E4A"/>
    <w:pPr>
      <w:ind w:left="720"/>
    </w:pPr>
  </w:style>
  <w:style w:type="paragraph" w:styleId="Caption">
    <w:name w:val="caption"/>
    <w:basedOn w:val="Normal"/>
    <w:next w:val="Normal"/>
    <w:qFormat/>
    <w:rsid w:val="00B17BFE"/>
    <w:pPr>
      <w:ind w:firstLine="720"/>
    </w:pPr>
    <w:rPr>
      <w:b/>
      <w:szCs w:val="20"/>
      <w:u w:val="single"/>
    </w:rPr>
  </w:style>
  <w:style w:type="character" w:customStyle="1" w:styleId="Heading7Char">
    <w:name w:val="Heading 7 Char"/>
    <w:basedOn w:val="DefaultParagraphFont"/>
    <w:link w:val="Heading7"/>
    <w:semiHidden/>
    <w:rsid w:val="00B17BFE"/>
    <w:rPr>
      <w:rFonts w:ascii="Calibri" w:eastAsia="Times New Roman" w:hAnsi="Calibri" w:cs="Times New Roman"/>
      <w:sz w:val="24"/>
      <w:szCs w:val="24"/>
    </w:rPr>
  </w:style>
  <w:style w:type="character" w:customStyle="1" w:styleId="apple-style-span">
    <w:name w:val="apple-style-span"/>
    <w:basedOn w:val="DefaultParagraphFont"/>
    <w:rsid w:val="003F744C"/>
  </w:style>
  <w:style w:type="character" w:customStyle="1" w:styleId="apple-converted-space">
    <w:name w:val="apple-converted-space"/>
    <w:basedOn w:val="DefaultParagraphFont"/>
    <w:rsid w:val="003F744C"/>
  </w:style>
  <w:style w:type="character" w:styleId="Hyperlink">
    <w:name w:val="Hyperlink"/>
    <w:basedOn w:val="DefaultParagraphFont"/>
    <w:uiPriority w:val="99"/>
    <w:unhideWhenUsed/>
    <w:rsid w:val="003F744C"/>
    <w:rPr>
      <w:color w:val="0000FF"/>
      <w:u w:val="single"/>
    </w:rPr>
  </w:style>
  <w:style w:type="paragraph" w:styleId="NormalWeb">
    <w:name w:val="Normal (Web)"/>
    <w:basedOn w:val="Normal"/>
    <w:uiPriority w:val="99"/>
    <w:unhideWhenUsed/>
    <w:rsid w:val="0046604E"/>
    <w:pPr>
      <w:spacing w:after="187"/>
      <w:ind w:left="206" w:right="187"/>
    </w:pPr>
    <w:rPr>
      <w:rFonts w:cs="Arial"/>
      <w:color w:val="333333"/>
      <w:sz w:val="22"/>
      <w:szCs w:val="22"/>
    </w:rPr>
  </w:style>
  <w:style w:type="paragraph" w:customStyle="1" w:styleId="bodytext0">
    <w:name w:val="bodytext"/>
    <w:basedOn w:val="Normal"/>
    <w:rsid w:val="00420A14"/>
    <w:pPr>
      <w:spacing w:before="100" w:beforeAutospacing="1" w:after="100" w:afterAutospacing="1"/>
      <w:ind w:left="144"/>
    </w:pPr>
    <w:rPr>
      <w:rFonts w:cs="Arial"/>
      <w:color w:val="000000"/>
    </w:rPr>
  </w:style>
  <w:style w:type="paragraph" w:styleId="NoSpacing">
    <w:name w:val="No Spacing"/>
    <w:uiPriority w:val="1"/>
    <w:qFormat/>
    <w:rsid w:val="00265B29"/>
    <w:rPr>
      <w:rFonts w:asciiTheme="minorHAnsi" w:eastAsiaTheme="minorHAnsi" w:hAnsiTheme="minorHAnsi" w:cstheme="minorBidi"/>
      <w:sz w:val="22"/>
      <w:szCs w:val="22"/>
    </w:rPr>
  </w:style>
  <w:style w:type="character" w:styleId="FollowedHyperlink">
    <w:name w:val="FollowedHyperlink"/>
    <w:basedOn w:val="DefaultParagraphFont"/>
    <w:rsid w:val="001242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301">
      <w:bodyDiv w:val="1"/>
      <w:marLeft w:val="0"/>
      <w:marRight w:val="0"/>
      <w:marTop w:val="0"/>
      <w:marBottom w:val="0"/>
      <w:divBdr>
        <w:top w:val="none" w:sz="0" w:space="0" w:color="auto"/>
        <w:left w:val="none" w:sz="0" w:space="0" w:color="auto"/>
        <w:bottom w:val="none" w:sz="0" w:space="0" w:color="auto"/>
        <w:right w:val="none" w:sz="0" w:space="0" w:color="auto"/>
      </w:divBdr>
      <w:divsChild>
        <w:div w:id="2059014225">
          <w:marLeft w:val="1714"/>
          <w:marRight w:val="0"/>
          <w:marTop w:val="0"/>
          <w:marBottom w:val="0"/>
          <w:divBdr>
            <w:top w:val="none" w:sz="0" w:space="0" w:color="auto"/>
            <w:left w:val="none" w:sz="0" w:space="0" w:color="auto"/>
            <w:bottom w:val="none" w:sz="0" w:space="0" w:color="auto"/>
            <w:right w:val="none" w:sz="0" w:space="0" w:color="auto"/>
          </w:divBdr>
        </w:div>
        <w:div w:id="176501191">
          <w:marLeft w:val="1714"/>
          <w:marRight w:val="0"/>
          <w:marTop w:val="0"/>
          <w:marBottom w:val="0"/>
          <w:divBdr>
            <w:top w:val="none" w:sz="0" w:space="0" w:color="auto"/>
            <w:left w:val="none" w:sz="0" w:space="0" w:color="auto"/>
            <w:bottom w:val="none" w:sz="0" w:space="0" w:color="auto"/>
            <w:right w:val="none" w:sz="0" w:space="0" w:color="auto"/>
          </w:divBdr>
        </w:div>
        <w:div w:id="822896177">
          <w:marLeft w:val="1714"/>
          <w:marRight w:val="0"/>
          <w:marTop w:val="0"/>
          <w:marBottom w:val="0"/>
          <w:divBdr>
            <w:top w:val="none" w:sz="0" w:space="0" w:color="auto"/>
            <w:left w:val="none" w:sz="0" w:space="0" w:color="auto"/>
            <w:bottom w:val="none" w:sz="0" w:space="0" w:color="auto"/>
            <w:right w:val="none" w:sz="0" w:space="0" w:color="auto"/>
          </w:divBdr>
        </w:div>
      </w:divsChild>
    </w:div>
    <w:div w:id="20135778">
      <w:bodyDiv w:val="1"/>
      <w:marLeft w:val="0"/>
      <w:marRight w:val="0"/>
      <w:marTop w:val="0"/>
      <w:marBottom w:val="0"/>
      <w:divBdr>
        <w:top w:val="none" w:sz="0" w:space="0" w:color="auto"/>
        <w:left w:val="none" w:sz="0" w:space="0" w:color="auto"/>
        <w:bottom w:val="none" w:sz="0" w:space="0" w:color="auto"/>
        <w:right w:val="none" w:sz="0" w:space="0" w:color="auto"/>
      </w:divBdr>
      <w:divsChild>
        <w:div w:id="133135061">
          <w:marLeft w:val="1714"/>
          <w:marRight w:val="0"/>
          <w:marTop w:val="77"/>
          <w:marBottom w:val="0"/>
          <w:divBdr>
            <w:top w:val="none" w:sz="0" w:space="0" w:color="auto"/>
            <w:left w:val="none" w:sz="0" w:space="0" w:color="auto"/>
            <w:bottom w:val="none" w:sz="0" w:space="0" w:color="auto"/>
            <w:right w:val="none" w:sz="0" w:space="0" w:color="auto"/>
          </w:divBdr>
        </w:div>
        <w:div w:id="525676867">
          <w:marLeft w:val="533"/>
          <w:marRight w:val="0"/>
          <w:marTop w:val="77"/>
          <w:marBottom w:val="0"/>
          <w:divBdr>
            <w:top w:val="none" w:sz="0" w:space="0" w:color="auto"/>
            <w:left w:val="none" w:sz="0" w:space="0" w:color="auto"/>
            <w:bottom w:val="none" w:sz="0" w:space="0" w:color="auto"/>
            <w:right w:val="none" w:sz="0" w:space="0" w:color="auto"/>
          </w:divBdr>
        </w:div>
        <w:div w:id="710418563">
          <w:marLeft w:val="1714"/>
          <w:marRight w:val="0"/>
          <w:marTop w:val="77"/>
          <w:marBottom w:val="0"/>
          <w:divBdr>
            <w:top w:val="none" w:sz="0" w:space="0" w:color="auto"/>
            <w:left w:val="none" w:sz="0" w:space="0" w:color="auto"/>
            <w:bottom w:val="none" w:sz="0" w:space="0" w:color="auto"/>
            <w:right w:val="none" w:sz="0" w:space="0" w:color="auto"/>
          </w:divBdr>
        </w:div>
        <w:div w:id="1001814733">
          <w:marLeft w:val="1714"/>
          <w:marRight w:val="0"/>
          <w:marTop w:val="77"/>
          <w:marBottom w:val="0"/>
          <w:divBdr>
            <w:top w:val="none" w:sz="0" w:space="0" w:color="auto"/>
            <w:left w:val="none" w:sz="0" w:space="0" w:color="auto"/>
            <w:bottom w:val="none" w:sz="0" w:space="0" w:color="auto"/>
            <w:right w:val="none" w:sz="0" w:space="0" w:color="auto"/>
          </w:divBdr>
        </w:div>
        <w:div w:id="1129933304">
          <w:marLeft w:val="1714"/>
          <w:marRight w:val="0"/>
          <w:marTop w:val="77"/>
          <w:marBottom w:val="0"/>
          <w:divBdr>
            <w:top w:val="none" w:sz="0" w:space="0" w:color="auto"/>
            <w:left w:val="none" w:sz="0" w:space="0" w:color="auto"/>
            <w:bottom w:val="none" w:sz="0" w:space="0" w:color="auto"/>
            <w:right w:val="none" w:sz="0" w:space="0" w:color="auto"/>
          </w:divBdr>
        </w:div>
        <w:div w:id="1145515228">
          <w:marLeft w:val="1714"/>
          <w:marRight w:val="0"/>
          <w:marTop w:val="77"/>
          <w:marBottom w:val="0"/>
          <w:divBdr>
            <w:top w:val="none" w:sz="0" w:space="0" w:color="auto"/>
            <w:left w:val="none" w:sz="0" w:space="0" w:color="auto"/>
            <w:bottom w:val="none" w:sz="0" w:space="0" w:color="auto"/>
            <w:right w:val="none" w:sz="0" w:space="0" w:color="auto"/>
          </w:divBdr>
        </w:div>
        <w:div w:id="1301956495">
          <w:marLeft w:val="1714"/>
          <w:marRight w:val="0"/>
          <w:marTop w:val="77"/>
          <w:marBottom w:val="0"/>
          <w:divBdr>
            <w:top w:val="none" w:sz="0" w:space="0" w:color="auto"/>
            <w:left w:val="none" w:sz="0" w:space="0" w:color="auto"/>
            <w:bottom w:val="none" w:sz="0" w:space="0" w:color="auto"/>
            <w:right w:val="none" w:sz="0" w:space="0" w:color="auto"/>
          </w:divBdr>
        </w:div>
        <w:div w:id="1460680779">
          <w:marLeft w:val="1714"/>
          <w:marRight w:val="0"/>
          <w:marTop w:val="77"/>
          <w:marBottom w:val="0"/>
          <w:divBdr>
            <w:top w:val="none" w:sz="0" w:space="0" w:color="auto"/>
            <w:left w:val="none" w:sz="0" w:space="0" w:color="auto"/>
            <w:bottom w:val="none" w:sz="0" w:space="0" w:color="auto"/>
            <w:right w:val="none" w:sz="0" w:space="0" w:color="auto"/>
          </w:divBdr>
        </w:div>
        <w:div w:id="1505631082">
          <w:marLeft w:val="1714"/>
          <w:marRight w:val="0"/>
          <w:marTop w:val="77"/>
          <w:marBottom w:val="0"/>
          <w:divBdr>
            <w:top w:val="none" w:sz="0" w:space="0" w:color="auto"/>
            <w:left w:val="none" w:sz="0" w:space="0" w:color="auto"/>
            <w:bottom w:val="none" w:sz="0" w:space="0" w:color="auto"/>
            <w:right w:val="none" w:sz="0" w:space="0" w:color="auto"/>
          </w:divBdr>
        </w:div>
        <w:div w:id="1657109956">
          <w:marLeft w:val="533"/>
          <w:marRight w:val="0"/>
          <w:marTop w:val="77"/>
          <w:marBottom w:val="0"/>
          <w:divBdr>
            <w:top w:val="none" w:sz="0" w:space="0" w:color="auto"/>
            <w:left w:val="none" w:sz="0" w:space="0" w:color="auto"/>
            <w:bottom w:val="none" w:sz="0" w:space="0" w:color="auto"/>
            <w:right w:val="none" w:sz="0" w:space="0" w:color="auto"/>
          </w:divBdr>
        </w:div>
        <w:div w:id="1808860247">
          <w:marLeft w:val="1714"/>
          <w:marRight w:val="0"/>
          <w:marTop w:val="77"/>
          <w:marBottom w:val="0"/>
          <w:divBdr>
            <w:top w:val="none" w:sz="0" w:space="0" w:color="auto"/>
            <w:left w:val="none" w:sz="0" w:space="0" w:color="auto"/>
            <w:bottom w:val="none" w:sz="0" w:space="0" w:color="auto"/>
            <w:right w:val="none" w:sz="0" w:space="0" w:color="auto"/>
          </w:divBdr>
        </w:div>
        <w:div w:id="2021273485">
          <w:marLeft w:val="533"/>
          <w:marRight w:val="0"/>
          <w:marTop w:val="77"/>
          <w:marBottom w:val="0"/>
          <w:divBdr>
            <w:top w:val="none" w:sz="0" w:space="0" w:color="auto"/>
            <w:left w:val="none" w:sz="0" w:space="0" w:color="auto"/>
            <w:bottom w:val="none" w:sz="0" w:space="0" w:color="auto"/>
            <w:right w:val="none" w:sz="0" w:space="0" w:color="auto"/>
          </w:divBdr>
        </w:div>
        <w:div w:id="2031490356">
          <w:marLeft w:val="533"/>
          <w:marRight w:val="0"/>
          <w:marTop w:val="77"/>
          <w:marBottom w:val="0"/>
          <w:divBdr>
            <w:top w:val="none" w:sz="0" w:space="0" w:color="auto"/>
            <w:left w:val="none" w:sz="0" w:space="0" w:color="auto"/>
            <w:bottom w:val="none" w:sz="0" w:space="0" w:color="auto"/>
            <w:right w:val="none" w:sz="0" w:space="0" w:color="auto"/>
          </w:divBdr>
        </w:div>
        <w:div w:id="2067604944">
          <w:marLeft w:val="1714"/>
          <w:marRight w:val="0"/>
          <w:marTop w:val="77"/>
          <w:marBottom w:val="0"/>
          <w:divBdr>
            <w:top w:val="none" w:sz="0" w:space="0" w:color="auto"/>
            <w:left w:val="none" w:sz="0" w:space="0" w:color="auto"/>
            <w:bottom w:val="none" w:sz="0" w:space="0" w:color="auto"/>
            <w:right w:val="none" w:sz="0" w:space="0" w:color="auto"/>
          </w:divBdr>
        </w:div>
      </w:divsChild>
    </w:div>
    <w:div w:id="21977267">
      <w:bodyDiv w:val="1"/>
      <w:marLeft w:val="0"/>
      <w:marRight w:val="0"/>
      <w:marTop w:val="0"/>
      <w:marBottom w:val="0"/>
      <w:divBdr>
        <w:top w:val="none" w:sz="0" w:space="0" w:color="auto"/>
        <w:left w:val="none" w:sz="0" w:space="0" w:color="auto"/>
        <w:bottom w:val="none" w:sz="0" w:space="0" w:color="auto"/>
        <w:right w:val="none" w:sz="0" w:space="0" w:color="auto"/>
      </w:divBdr>
      <w:divsChild>
        <w:div w:id="94594464">
          <w:marLeft w:val="547"/>
          <w:marRight w:val="0"/>
          <w:marTop w:val="77"/>
          <w:marBottom w:val="0"/>
          <w:divBdr>
            <w:top w:val="none" w:sz="0" w:space="0" w:color="auto"/>
            <w:left w:val="none" w:sz="0" w:space="0" w:color="auto"/>
            <w:bottom w:val="none" w:sz="0" w:space="0" w:color="auto"/>
            <w:right w:val="none" w:sz="0" w:space="0" w:color="auto"/>
          </w:divBdr>
        </w:div>
        <w:div w:id="386270248">
          <w:marLeft w:val="547"/>
          <w:marRight w:val="0"/>
          <w:marTop w:val="77"/>
          <w:marBottom w:val="0"/>
          <w:divBdr>
            <w:top w:val="none" w:sz="0" w:space="0" w:color="auto"/>
            <w:left w:val="none" w:sz="0" w:space="0" w:color="auto"/>
            <w:bottom w:val="none" w:sz="0" w:space="0" w:color="auto"/>
            <w:right w:val="none" w:sz="0" w:space="0" w:color="auto"/>
          </w:divBdr>
        </w:div>
        <w:div w:id="1076436824">
          <w:marLeft w:val="1166"/>
          <w:marRight w:val="0"/>
          <w:marTop w:val="67"/>
          <w:marBottom w:val="0"/>
          <w:divBdr>
            <w:top w:val="none" w:sz="0" w:space="0" w:color="auto"/>
            <w:left w:val="none" w:sz="0" w:space="0" w:color="auto"/>
            <w:bottom w:val="none" w:sz="0" w:space="0" w:color="auto"/>
            <w:right w:val="none" w:sz="0" w:space="0" w:color="auto"/>
          </w:divBdr>
        </w:div>
        <w:div w:id="1245722130">
          <w:marLeft w:val="547"/>
          <w:marRight w:val="0"/>
          <w:marTop w:val="77"/>
          <w:marBottom w:val="0"/>
          <w:divBdr>
            <w:top w:val="none" w:sz="0" w:space="0" w:color="auto"/>
            <w:left w:val="none" w:sz="0" w:space="0" w:color="auto"/>
            <w:bottom w:val="none" w:sz="0" w:space="0" w:color="auto"/>
            <w:right w:val="none" w:sz="0" w:space="0" w:color="auto"/>
          </w:divBdr>
        </w:div>
        <w:div w:id="1804620938">
          <w:marLeft w:val="1166"/>
          <w:marRight w:val="0"/>
          <w:marTop w:val="67"/>
          <w:marBottom w:val="0"/>
          <w:divBdr>
            <w:top w:val="none" w:sz="0" w:space="0" w:color="auto"/>
            <w:left w:val="none" w:sz="0" w:space="0" w:color="auto"/>
            <w:bottom w:val="none" w:sz="0" w:space="0" w:color="auto"/>
            <w:right w:val="none" w:sz="0" w:space="0" w:color="auto"/>
          </w:divBdr>
        </w:div>
        <w:div w:id="1808475161">
          <w:marLeft w:val="547"/>
          <w:marRight w:val="0"/>
          <w:marTop w:val="77"/>
          <w:marBottom w:val="0"/>
          <w:divBdr>
            <w:top w:val="none" w:sz="0" w:space="0" w:color="auto"/>
            <w:left w:val="none" w:sz="0" w:space="0" w:color="auto"/>
            <w:bottom w:val="none" w:sz="0" w:space="0" w:color="auto"/>
            <w:right w:val="none" w:sz="0" w:space="0" w:color="auto"/>
          </w:divBdr>
        </w:div>
      </w:divsChild>
    </w:div>
    <w:div w:id="36246655">
      <w:bodyDiv w:val="1"/>
      <w:marLeft w:val="0"/>
      <w:marRight w:val="0"/>
      <w:marTop w:val="0"/>
      <w:marBottom w:val="0"/>
      <w:divBdr>
        <w:top w:val="none" w:sz="0" w:space="0" w:color="auto"/>
        <w:left w:val="none" w:sz="0" w:space="0" w:color="auto"/>
        <w:bottom w:val="none" w:sz="0" w:space="0" w:color="auto"/>
        <w:right w:val="none" w:sz="0" w:space="0" w:color="auto"/>
      </w:divBdr>
    </w:div>
    <w:div w:id="140585853">
      <w:bodyDiv w:val="1"/>
      <w:marLeft w:val="0"/>
      <w:marRight w:val="0"/>
      <w:marTop w:val="0"/>
      <w:marBottom w:val="0"/>
      <w:divBdr>
        <w:top w:val="none" w:sz="0" w:space="0" w:color="auto"/>
        <w:left w:val="none" w:sz="0" w:space="0" w:color="auto"/>
        <w:bottom w:val="none" w:sz="0" w:space="0" w:color="auto"/>
        <w:right w:val="none" w:sz="0" w:space="0" w:color="auto"/>
      </w:divBdr>
    </w:div>
    <w:div w:id="146629720">
      <w:bodyDiv w:val="1"/>
      <w:marLeft w:val="0"/>
      <w:marRight w:val="0"/>
      <w:marTop w:val="0"/>
      <w:marBottom w:val="0"/>
      <w:divBdr>
        <w:top w:val="none" w:sz="0" w:space="0" w:color="auto"/>
        <w:left w:val="none" w:sz="0" w:space="0" w:color="auto"/>
        <w:bottom w:val="none" w:sz="0" w:space="0" w:color="auto"/>
        <w:right w:val="none" w:sz="0" w:space="0" w:color="auto"/>
      </w:divBdr>
      <w:divsChild>
        <w:div w:id="174812377">
          <w:marLeft w:val="547"/>
          <w:marRight w:val="0"/>
          <w:marTop w:val="86"/>
          <w:marBottom w:val="0"/>
          <w:divBdr>
            <w:top w:val="none" w:sz="0" w:space="0" w:color="auto"/>
            <w:left w:val="none" w:sz="0" w:space="0" w:color="auto"/>
            <w:bottom w:val="none" w:sz="0" w:space="0" w:color="auto"/>
            <w:right w:val="none" w:sz="0" w:space="0" w:color="auto"/>
          </w:divBdr>
        </w:div>
        <w:div w:id="251596749">
          <w:marLeft w:val="547"/>
          <w:marRight w:val="0"/>
          <w:marTop w:val="86"/>
          <w:marBottom w:val="0"/>
          <w:divBdr>
            <w:top w:val="none" w:sz="0" w:space="0" w:color="auto"/>
            <w:left w:val="none" w:sz="0" w:space="0" w:color="auto"/>
            <w:bottom w:val="none" w:sz="0" w:space="0" w:color="auto"/>
            <w:right w:val="none" w:sz="0" w:space="0" w:color="auto"/>
          </w:divBdr>
        </w:div>
        <w:div w:id="511653058">
          <w:marLeft w:val="547"/>
          <w:marRight w:val="0"/>
          <w:marTop w:val="86"/>
          <w:marBottom w:val="0"/>
          <w:divBdr>
            <w:top w:val="none" w:sz="0" w:space="0" w:color="auto"/>
            <w:left w:val="none" w:sz="0" w:space="0" w:color="auto"/>
            <w:bottom w:val="none" w:sz="0" w:space="0" w:color="auto"/>
            <w:right w:val="none" w:sz="0" w:space="0" w:color="auto"/>
          </w:divBdr>
        </w:div>
        <w:div w:id="913710458">
          <w:marLeft w:val="547"/>
          <w:marRight w:val="0"/>
          <w:marTop w:val="86"/>
          <w:marBottom w:val="0"/>
          <w:divBdr>
            <w:top w:val="none" w:sz="0" w:space="0" w:color="auto"/>
            <w:left w:val="none" w:sz="0" w:space="0" w:color="auto"/>
            <w:bottom w:val="none" w:sz="0" w:space="0" w:color="auto"/>
            <w:right w:val="none" w:sz="0" w:space="0" w:color="auto"/>
          </w:divBdr>
        </w:div>
        <w:div w:id="1032539672">
          <w:marLeft w:val="547"/>
          <w:marRight w:val="0"/>
          <w:marTop w:val="86"/>
          <w:marBottom w:val="0"/>
          <w:divBdr>
            <w:top w:val="none" w:sz="0" w:space="0" w:color="auto"/>
            <w:left w:val="none" w:sz="0" w:space="0" w:color="auto"/>
            <w:bottom w:val="none" w:sz="0" w:space="0" w:color="auto"/>
            <w:right w:val="none" w:sz="0" w:space="0" w:color="auto"/>
          </w:divBdr>
        </w:div>
        <w:div w:id="1838688452">
          <w:marLeft w:val="547"/>
          <w:marRight w:val="0"/>
          <w:marTop w:val="86"/>
          <w:marBottom w:val="0"/>
          <w:divBdr>
            <w:top w:val="none" w:sz="0" w:space="0" w:color="auto"/>
            <w:left w:val="none" w:sz="0" w:space="0" w:color="auto"/>
            <w:bottom w:val="none" w:sz="0" w:space="0" w:color="auto"/>
            <w:right w:val="none" w:sz="0" w:space="0" w:color="auto"/>
          </w:divBdr>
        </w:div>
        <w:div w:id="1995058874">
          <w:marLeft w:val="547"/>
          <w:marRight w:val="0"/>
          <w:marTop w:val="86"/>
          <w:marBottom w:val="0"/>
          <w:divBdr>
            <w:top w:val="none" w:sz="0" w:space="0" w:color="auto"/>
            <w:left w:val="none" w:sz="0" w:space="0" w:color="auto"/>
            <w:bottom w:val="none" w:sz="0" w:space="0" w:color="auto"/>
            <w:right w:val="none" w:sz="0" w:space="0" w:color="auto"/>
          </w:divBdr>
        </w:div>
        <w:div w:id="2067214149">
          <w:marLeft w:val="547"/>
          <w:marRight w:val="0"/>
          <w:marTop w:val="86"/>
          <w:marBottom w:val="0"/>
          <w:divBdr>
            <w:top w:val="none" w:sz="0" w:space="0" w:color="auto"/>
            <w:left w:val="none" w:sz="0" w:space="0" w:color="auto"/>
            <w:bottom w:val="none" w:sz="0" w:space="0" w:color="auto"/>
            <w:right w:val="none" w:sz="0" w:space="0" w:color="auto"/>
          </w:divBdr>
        </w:div>
        <w:div w:id="2086105901">
          <w:marLeft w:val="547"/>
          <w:marRight w:val="0"/>
          <w:marTop w:val="86"/>
          <w:marBottom w:val="0"/>
          <w:divBdr>
            <w:top w:val="none" w:sz="0" w:space="0" w:color="auto"/>
            <w:left w:val="none" w:sz="0" w:space="0" w:color="auto"/>
            <w:bottom w:val="none" w:sz="0" w:space="0" w:color="auto"/>
            <w:right w:val="none" w:sz="0" w:space="0" w:color="auto"/>
          </w:divBdr>
        </w:div>
      </w:divsChild>
    </w:div>
    <w:div w:id="185599983">
      <w:bodyDiv w:val="1"/>
      <w:marLeft w:val="0"/>
      <w:marRight w:val="0"/>
      <w:marTop w:val="0"/>
      <w:marBottom w:val="0"/>
      <w:divBdr>
        <w:top w:val="none" w:sz="0" w:space="0" w:color="auto"/>
        <w:left w:val="none" w:sz="0" w:space="0" w:color="auto"/>
        <w:bottom w:val="none" w:sz="0" w:space="0" w:color="auto"/>
        <w:right w:val="none" w:sz="0" w:space="0" w:color="auto"/>
      </w:divBdr>
    </w:div>
    <w:div w:id="189298997">
      <w:bodyDiv w:val="1"/>
      <w:marLeft w:val="0"/>
      <w:marRight w:val="0"/>
      <w:marTop w:val="0"/>
      <w:marBottom w:val="0"/>
      <w:divBdr>
        <w:top w:val="none" w:sz="0" w:space="0" w:color="auto"/>
        <w:left w:val="none" w:sz="0" w:space="0" w:color="auto"/>
        <w:bottom w:val="none" w:sz="0" w:space="0" w:color="auto"/>
        <w:right w:val="none" w:sz="0" w:space="0" w:color="auto"/>
      </w:divBdr>
    </w:div>
    <w:div w:id="199363739">
      <w:bodyDiv w:val="1"/>
      <w:marLeft w:val="0"/>
      <w:marRight w:val="0"/>
      <w:marTop w:val="0"/>
      <w:marBottom w:val="0"/>
      <w:divBdr>
        <w:top w:val="none" w:sz="0" w:space="0" w:color="auto"/>
        <w:left w:val="none" w:sz="0" w:space="0" w:color="auto"/>
        <w:bottom w:val="none" w:sz="0" w:space="0" w:color="auto"/>
        <w:right w:val="none" w:sz="0" w:space="0" w:color="auto"/>
      </w:divBdr>
    </w:div>
    <w:div w:id="345404345">
      <w:bodyDiv w:val="1"/>
      <w:marLeft w:val="0"/>
      <w:marRight w:val="0"/>
      <w:marTop w:val="0"/>
      <w:marBottom w:val="0"/>
      <w:divBdr>
        <w:top w:val="none" w:sz="0" w:space="0" w:color="auto"/>
        <w:left w:val="none" w:sz="0" w:space="0" w:color="auto"/>
        <w:bottom w:val="none" w:sz="0" w:space="0" w:color="auto"/>
        <w:right w:val="none" w:sz="0" w:space="0" w:color="auto"/>
      </w:divBdr>
      <w:divsChild>
        <w:div w:id="1334258895">
          <w:marLeft w:val="547"/>
          <w:marRight w:val="0"/>
          <w:marTop w:val="77"/>
          <w:marBottom w:val="0"/>
          <w:divBdr>
            <w:top w:val="none" w:sz="0" w:space="0" w:color="auto"/>
            <w:left w:val="none" w:sz="0" w:space="0" w:color="auto"/>
            <w:bottom w:val="none" w:sz="0" w:space="0" w:color="auto"/>
            <w:right w:val="none" w:sz="0" w:space="0" w:color="auto"/>
          </w:divBdr>
        </w:div>
      </w:divsChild>
    </w:div>
    <w:div w:id="489298407">
      <w:bodyDiv w:val="1"/>
      <w:marLeft w:val="0"/>
      <w:marRight w:val="0"/>
      <w:marTop w:val="0"/>
      <w:marBottom w:val="0"/>
      <w:divBdr>
        <w:top w:val="none" w:sz="0" w:space="0" w:color="auto"/>
        <w:left w:val="none" w:sz="0" w:space="0" w:color="auto"/>
        <w:bottom w:val="none" w:sz="0" w:space="0" w:color="auto"/>
        <w:right w:val="none" w:sz="0" w:space="0" w:color="auto"/>
      </w:divBdr>
      <w:divsChild>
        <w:div w:id="1544975899">
          <w:marLeft w:val="547"/>
          <w:marRight w:val="0"/>
          <w:marTop w:val="96"/>
          <w:marBottom w:val="0"/>
          <w:divBdr>
            <w:top w:val="none" w:sz="0" w:space="0" w:color="auto"/>
            <w:left w:val="none" w:sz="0" w:space="0" w:color="auto"/>
            <w:bottom w:val="none" w:sz="0" w:space="0" w:color="auto"/>
            <w:right w:val="none" w:sz="0" w:space="0" w:color="auto"/>
          </w:divBdr>
        </w:div>
      </w:divsChild>
    </w:div>
    <w:div w:id="560680289">
      <w:bodyDiv w:val="1"/>
      <w:marLeft w:val="0"/>
      <w:marRight w:val="0"/>
      <w:marTop w:val="0"/>
      <w:marBottom w:val="0"/>
      <w:divBdr>
        <w:top w:val="none" w:sz="0" w:space="0" w:color="auto"/>
        <w:left w:val="none" w:sz="0" w:space="0" w:color="auto"/>
        <w:bottom w:val="none" w:sz="0" w:space="0" w:color="auto"/>
        <w:right w:val="none" w:sz="0" w:space="0" w:color="auto"/>
      </w:divBdr>
    </w:div>
    <w:div w:id="635574929">
      <w:bodyDiv w:val="1"/>
      <w:marLeft w:val="0"/>
      <w:marRight w:val="0"/>
      <w:marTop w:val="0"/>
      <w:marBottom w:val="0"/>
      <w:divBdr>
        <w:top w:val="none" w:sz="0" w:space="0" w:color="auto"/>
        <w:left w:val="none" w:sz="0" w:space="0" w:color="auto"/>
        <w:bottom w:val="none" w:sz="0" w:space="0" w:color="auto"/>
        <w:right w:val="none" w:sz="0" w:space="0" w:color="auto"/>
      </w:divBdr>
      <w:divsChild>
        <w:div w:id="46801134">
          <w:marLeft w:val="461"/>
          <w:marRight w:val="0"/>
          <w:marTop w:val="0"/>
          <w:marBottom w:val="0"/>
          <w:divBdr>
            <w:top w:val="none" w:sz="0" w:space="0" w:color="auto"/>
            <w:left w:val="none" w:sz="0" w:space="0" w:color="auto"/>
            <w:bottom w:val="none" w:sz="0" w:space="0" w:color="auto"/>
            <w:right w:val="none" w:sz="0" w:space="0" w:color="auto"/>
          </w:divBdr>
        </w:div>
        <w:div w:id="72166717">
          <w:marLeft w:val="461"/>
          <w:marRight w:val="0"/>
          <w:marTop w:val="0"/>
          <w:marBottom w:val="0"/>
          <w:divBdr>
            <w:top w:val="none" w:sz="0" w:space="0" w:color="auto"/>
            <w:left w:val="none" w:sz="0" w:space="0" w:color="auto"/>
            <w:bottom w:val="none" w:sz="0" w:space="0" w:color="auto"/>
            <w:right w:val="none" w:sz="0" w:space="0" w:color="auto"/>
          </w:divBdr>
        </w:div>
        <w:div w:id="81221543">
          <w:marLeft w:val="461"/>
          <w:marRight w:val="0"/>
          <w:marTop w:val="0"/>
          <w:marBottom w:val="0"/>
          <w:divBdr>
            <w:top w:val="none" w:sz="0" w:space="0" w:color="auto"/>
            <w:left w:val="none" w:sz="0" w:space="0" w:color="auto"/>
            <w:bottom w:val="none" w:sz="0" w:space="0" w:color="auto"/>
            <w:right w:val="none" w:sz="0" w:space="0" w:color="auto"/>
          </w:divBdr>
        </w:div>
        <w:div w:id="607859562">
          <w:marLeft w:val="461"/>
          <w:marRight w:val="0"/>
          <w:marTop w:val="0"/>
          <w:marBottom w:val="0"/>
          <w:divBdr>
            <w:top w:val="none" w:sz="0" w:space="0" w:color="auto"/>
            <w:left w:val="none" w:sz="0" w:space="0" w:color="auto"/>
            <w:bottom w:val="none" w:sz="0" w:space="0" w:color="auto"/>
            <w:right w:val="none" w:sz="0" w:space="0" w:color="auto"/>
          </w:divBdr>
        </w:div>
        <w:div w:id="616909826">
          <w:marLeft w:val="461"/>
          <w:marRight w:val="0"/>
          <w:marTop w:val="0"/>
          <w:marBottom w:val="0"/>
          <w:divBdr>
            <w:top w:val="none" w:sz="0" w:space="0" w:color="auto"/>
            <w:left w:val="none" w:sz="0" w:space="0" w:color="auto"/>
            <w:bottom w:val="none" w:sz="0" w:space="0" w:color="auto"/>
            <w:right w:val="none" w:sz="0" w:space="0" w:color="auto"/>
          </w:divBdr>
        </w:div>
        <w:div w:id="1436905235">
          <w:marLeft w:val="461"/>
          <w:marRight w:val="0"/>
          <w:marTop w:val="0"/>
          <w:marBottom w:val="0"/>
          <w:divBdr>
            <w:top w:val="none" w:sz="0" w:space="0" w:color="auto"/>
            <w:left w:val="none" w:sz="0" w:space="0" w:color="auto"/>
            <w:bottom w:val="none" w:sz="0" w:space="0" w:color="auto"/>
            <w:right w:val="none" w:sz="0" w:space="0" w:color="auto"/>
          </w:divBdr>
        </w:div>
        <w:div w:id="1491871944">
          <w:marLeft w:val="461"/>
          <w:marRight w:val="0"/>
          <w:marTop w:val="0"/>
          <w:marBottom w:val="0"/>
          <w:divBdr>
            <w:top w:val="none" w:sz="0" w:space="0" w:color="auto"/>
            <w:left w:val="none" w:sz="0" w:space="0" w:color="auto"/>
            <w:bottom w:val="none" w:sz="0" w:space="0" w:color="auto"/>
            <w:right w:val="none" w:sz="0" w:space="0" w:color="auto"/>
          </w:divBdr>
        </w:div>
        <w:div w:id="1829443129">
          <w:marLeft w:val="461"/>
          <w:marRight w:val="0"/>
          <w:marTop w:val="0"/>
          <w:marBottom w:val="0"/>
          <w:divBdr>
            <w:top w:val="none" w:sz="0" w:space="0" w:color="auto"/>
            <w:left w:val="none" w:sz="0" w:space="0" w:color="auto"/>
            <w:bottom w:val="none" w:sz="0" w:space="0" w:color="auto"/>
            <w:right w:val="none" w:sz="0" w:space="0" w:color="auto"/>
          </w:divBdr>
        </w:div>
        <w:div w:id="2029794845">
          <w:marLeft w:val="461"/>
          <w:marRight w:val="0"/>
          <w:marTop w:val="0"/>
          <w:marBottom w:val="0"/>
          <w:divBdr>
            <w:top w:val="none" w:sz="0" w:space="0" w:color="auto"/>
            <w:left w:val="none" w:sz="0" w:space="0" w:color="auto"/>
            <w:bottom w:val="none" w:sz="0" w:space="0" w:color="auto"/>
            <w:right w:val="none" w:sz="0" w:space="0" w:color="auto"/>
          </w:divBdr>
        </w:div>
      </w:divsChild>
    </w:div>
    <w:div w:id="1169442864">
      <w:bodyDiv w:val="1"/>
      <w:marLeft w:val="0"/>
      <w:marRight w:val="0"/>
      <w:marTop w:val="0"/>
      <w:marBottom w:val="0"/>
      <w:divBdr>
        <w:top w:val="none" w:sz="0" w:space="0" w:color="auto"/>
        <w:left w:val="none" w:sz="0" w:space="0" w:color="auto"/>
        <w:bottom w:val="none" w:sz="0" w:space="0" w:color="auto"/>
        <w:right w:val="none" w:sz="0" w:space="0" w:color="auto"/>
      </w:divBdr>
    </w:div>
    <w:div w:id="1330210115">
      <w:bodyDiv w:val="1"/>
      <w:marLeft w:val="0"/>
      <w:marRight w:val="0"/>
      <w:marTop w:val="0"/>
      <w:marBottom w:val="0"/>
      <w:divBdr>
        <w:top w:val="none" w:sz="0" w:space="0" w:color="auto"/>
        <w:left w:val="none" w:sz="0" w:space="0" w:color="auto"/>
        <w:bottom w:val="none" w:sz="0" w:space="0" w:color="auto"/>
        <w:right w:val="none" w:sz="0" w:space="0" w:color="auto"/>
      </w:divBdr>
      <w:divsChild>
        <w:div w:id="212927495">
          <w:marLeft w:val="274"/>
          <w:marRight w:val="0"/>
          <w:marTop w:val="86"/>
          <w:marBottom w:val="0"/>
          <w:divBdr>
            <w:top w:val="none" w:sz="0" w:space="0" w:color="auto"/>
            <w:left w:val="none" w:sz="0" w:space="0" w:color="auto"/>
            <w:bottom w:val="none" w:sz="0" w:space="0" w:color="auto"/>
            <w:right w:val="none" w:sz="0" w:space="0" w:color="auto"/>
          </w:divBdr>
        </w:div>
        <w:div w:id="407768262">
          <w:marLeft w:val="274"/>
          <w:marRight w:val="0"/>
          <w:marTop w:val="86"/>
          <w:marBottom w:val="0"/>
          <w:divBdr>
            <w:top w:val="none" w:sz="0" w:space="0" w:color="auto"/>
            <w:left w:val="none" w:sz="0" w:space="0" w:color="auto"/>
            <w:bottom w:val="none" w:sz="0" w:space="0" w:color="auto"/>
            <w:right w:val="none" w:sz="0" w:space="0" w:color="auto"/>
          </w:divBdr>
        </w:div>
        <w:div w:id="499466699">
          <w:marLeft w:val="274"/>
          <w:marRight w:val="0"/>
          <w:marTop w:val="86"/>
          <w:marBottom w:val="0"/>
          <w:divBdr>
            <w:top w:val="none" w:sz="0" w:space="0" w:color="auto"/>
            <w:left w:val="none" w:sz="0" w:space="0" w:color="auto"/>
            <w:bottom w:val="none" w:sz="0" w:space="0" w:color="auto"/>
            <w:right w:val="none" w:sz="0" w:space="0" w:color="auto"/>
          </w:divBdr>
        </w:div>
        <w:div w:id="691151380">
          <w:marLeft w:val="274"/>
          <w:marRight w:val="0"/>
          <w:marTop w:val="86"/>
          <w:marBottom w:val="0"/>
          <w:divBdr>
            <w:top w:val="none" w:sz="0" w:space="0" w:color="auto"/>
            <w:left w:val="none" w:sz="0" w:space="0" w:color="auto"/>
            <w:bottom w:val="none" w:sz="0" w:space="0" w:color="auto"/>
            <w:right w:val="none" w:sz="0" w:space="0" w:color="auto"/>
          </w:divBdr>
        </w:div>
        <w:div w:id="788285172">
          <w:marLeft w:val="274"/>
          <w:marRight w:val="0"/>
          <w:marTop w:val="86"/>
          <w:marBottom w:val="0"/>
          <w:divBdr>
            <w:top w:val="none" w:sz="0" w:space="0" w:color="auto"/>
            <w:left w:val="none" w:sz="0" w:space="0" w:color="auto"/>
            <w:bottom w:val="none" w:sz="0" w:space="0" w:color="auto"/>
            <w:right w:val="none" w:sz="0" w:space="0" w:color="auto"/>
          </w:divBdr>
        </w:div>
        <w:div w:id="1337801056">
          <w:marLeft w:val="274"/>
          <w:marRight w:val="0"/>
          <w:marTop w:val="86"/>
          <w:marBottom w:val="0"/>
          <w:divBdr>
            <w:top w:val="none" w:sz="0" w:space="0" w:color="auto"/>
            <w:left w:val="none" w:sz="0" w:space="0" w:color="auto"/>
            <w:bottom w:val="none" w:sz="0" w:space="0" w:color="auto"/>
            <w:right w:val="none" w:sz="0" w:space="0" w:color="auto"/>
          </w:divBdr>
        </w:div>
        <w:div w:id="1982809094">
          <w:marLeft w:val="274"/>
          <w:marRight w:val="0"/>
          <w:marTop w:val="86"/>
          <w:marBottom w:val="0"/>
          <w:divBdr>
            <w:top w:val="none" w:sz="0" w:space="0" w:color="auto"/>
            <w:left w:val="none" w:sz="0" w:space="0" w:color="auto"/>
            <w:bottom w:val="none" w:sz="0" w:space="0" w:color="auto"/>
            <w:right w:val="none" w:sz="0" w:space="0" w:color="auto"/>
          </w:divBdr>
        </w:div>
        <w:div w:id="2025935399">
          <w:marLeft w:val="274"/>
          <w:marRight w:val="0"/>
          <w:marTop w:val="86"/>
          <w:marBottom w:val="0"/>
          <w:divBdr>
            <w:top w:val="none" w:sz="0" w:space="0" w:color="auto"/>
            <w:left w:val="none" w:sz="0" w:space="0" w:color="auto"/>
            <w:bottom w:val="none" w:sz="0" w:space="0" w:color="auto"/>
            <w:right w:val="none" w:sz="0" w:space="0" w:color="auto"/>
          </w:divBdr>
        </w:div>
      </w:divsChild>
    </w:div>
    <w:div w:id="1384645642">
      <w:bodyDiv w:val="1"/>
      <w:marLeft w:val="0"/>
      <w:marRight w:val="0"/>
      <w:marTop w:val="0"/>
      <w:marBottom w:val="0"/>
      <w:divBdr>
        <w:top w:val="none" w:sz="0" w:space="0" w:color="auto"/>
        <w:left w:val="none" w:sz="0" w:space="0" w:color="auto"/>
        <w:bottom w:val="none" w:sz="0" w:space="0" w:color="auto"/>
        <w:right w:val="none" w:sz="0" w:space="0" w:color="auto"/>
      </w:divBdr>
      <w:divsChild>
        <w:div w:id="142360566">
          <w:marLeft w:val="1166"/>
          <w:marRight w:val="0"/>
          <w:marTop w:val="0"/>
          <w:marBottom w:val="0"/>
          <w:divBdr>
            <w:top w:val="none" w:sz="0" w:space="0" w:color="auto"/>
            <w:left w:val="none" w:sz="0" w:space="0" w:color="auto"/>
            <w:bottom w:val="none" w:sz="0" w:space="0" w:color="auto"/>
            <w:right w:val="none" w:sz="0" w:space="0" w:color="auto"/>
          </w:divBdr>
        </w:div>
        <w:div w:id="188422931">
          <w:marLeft w:val="1166"/>
          <w:marRight w:val="0"/>
          <w:marTop w:val="0"/>
          <w:marBottom w:val="0"/>
          <w:divBdr>
            <w:top w:val="none" w:sz="0" w:space="0" w:color="auto"/>
            <w:left w:val="none" w:sz="0" w:space="0" w:color="auto"/>
            <w:bottom w:val="none" w:sz="0" w:space="0" w:color="auto"/>
            <w:right w:val="none" w:sz="0" w:space="0" w:color="auto"/>
          </w:divBdr>
        </w:div>
        <w:div w:id="808087774">
          <w:marLeft w:val="1166"/>
          <w:marRight w:val="0"/>
          <w:marTop w:val="0"/>
          <w:marBottom w:val="0"/>
          <w:divBdr>
            <w:top w:val="none" w:sz="0" w:space="0" w:color="auto"/>
            <w:left w:val="none" w:sz="0" w:space="0" w:color="auto"/>
            <w:bottom w:val="none" w:sz="0" w:space="0" w:color="auto"/>
            <w:right w:val="none" w:sz="0" w:space="0" w:color="auto"/>
          </w:divBdr>
        </w:div>
        <w:div w:id="1102649208">
          <w:marLeft w:val="1166"/>
          <w:marRight w:val="0"/>
          <w:marTop w:val="0"/>
          <w:marBottom w:val="0"/>
          <w:divBdr>
            <w:top w:val="none" w:sz="0" w:space="0" w:color="auto"/>
            <w:left w:val="none" w:sz="0" w:space="0" w:color="auto"/>
            <w:bottom w:val="none" w:sz="0" w:space="0" w:color="auto"/>
            <w:right w:val="none" w:sz="0" w:space="0" w:color="auto"/>
          </w:divBdr>
        </w:div>
        <w:div w:id="1411390388">
          <w:marLeft w:val="1166"/>
          <w:marRight w:val="0"/>
          <w:marTop w:val="0"/>
          <w:marBottom w:val="0"/>
          <w:divBdr>
            <w:top w:val="none" w:sz="0" w:space="0" w:color="auto"/>
            <w:left w:val="none" w:sz="0" w:space="0" w:color="auto"/>
            <w:bottom w:val="none" w:sz="0" w:space="0" w:color="auto"/>
            <w:right w:val="none" w:sz="0" w:space="0" w:color="auto"/>
          </w:divBdr>
        </w:div>
        <w:div w:id="1620599998">
          <w:marLeft w:val="1166"/>
          <w:marRight w:val="0"/>
          <w:marTop w:val="0"/>
          <w:marBottom w:val="0"/>
          <w:divBdr>
            <w:top w:val="none" w:sz="0" w:space="0" w:color="auto"/>
            <w:left w:val="none" w:sz="0" w:space="0" w:color="auto"/>
            <w:bottom w:val="none" w:sz="0" w:space="0" w:color="auto"/>
            <w:right w:val="none" w:sz="0" w:space="0" w:color="auto"/>
          </w:divBdr>
        </w:div>
        <w:div w:id="2107997106">
          <w:marLeft w:val="1166"/>
          <w:marRight w:val="0"/>
          <w:marTop w:val="0"/>
          <w:marBottom w:val="0"/>
          <w:divBdr>
            <w:top w:val="none" w:sz="0" w:space="0" w:color="auto"/>
            <w:left w:val="none" w:sz="0" w:space="0" w:color="auto"/>
            <w:bottom w:val="none" w:sz="0" w:space="0" w:color="auto"/>
            <w:right w:val="none" w:sz="0" w:space="0" w:color="auto"/>
          </w:divBdr>
        </w:div>
      </w:divsChild>
    </w:div>
    <w:div w:id="1572420167">
      <w:bodyDiv w:val="1"/>
      <w:marLeft w:val="0"/>
      <w:marRight w:val="0"/>
      <w:marTop w:val="0"/>
      <w:marBottom w:val="0"/>
      <w:divBdr>
        <w:top w:val="none" w:sz="0" w:space="0" w:color="auto"/>
        <w:left w:val="none" w:sz="0" w:space="0" w:color="auto"/>
        <w:bottom w:val="none" w:sz="0" w:space="0" w:color="auto"/>
        <w:right w:val="none" w:sz="0" w:space="0" w:color="auto"/>
      </w:divBdr>
      <w:divsChild>
        <w:div w:id="742489986">
          <w:marLeft w:val="547"/>
          <w:marRight w:val="0"/>
          <w:marTop w:val="96"/>
          <w:marBottom w:val="0"/>
          <w:divBdr>
            <w:top w:val="none" w:sz="0" w:space="0" w:color="auto"/>
            <w:left w:val="none" w:sz="0" w:space="0" w:color="auto"/>
            <w:bottom w:val="none" w:sz="0" w:space="0" w:color="auto"/>
            <w:right w:val="none" w:sz="0" w:space="0" w:color="auto"/>
          </w:divBdr>
        </w:div>
      </w:divsChild>
    </w:div>
    <w:div w:id="1579704741">
      <w:bodyDiv w:val="1"/>
      <w:marLeft w:val="0"/>
      <w:marRight w:val="0"/>
      <w:marTop w:val="0"/>
      <w:marBottom w:val="0"/>
      <w:divBdr>
        <w:top w:val="none" w:sz="0" w:space="0" w:color="auto"/>
        <w:left w:val="none" w:sz="0" w:space="0" w:color="auto"/>
        <w:bottom w:val="none" w:sz="0" w:space="0" w:color="auto"/>
        <w:right w:val="none" w:sz="0" w:space="0" w:color="auto"/>
      </w:divBdr>
      <w:divsChild>
        <w:div w:id="198128883">
          <w:marLeft w:val="806"/>
          <w:marRight w:val="0"/>
          <w:marTop w:val="62"/>
          <w:marBottom w:val="0"/>
          <w:divBdr>
            <w:top w:val="none" w:sz="0" w:space="0" w:color="auto"/>
            <w:left w:val="none" w:sz="0" w:space="0" w:color="auto"/>
            <w:bottom w:val="none" w:sz="0" w:space="0" w:color="auto"/>
            <w:right w:val="none" w:sz="0" w:space="0" w:color="auto"/>
          </w:divBdr>
        </w:div>
        <w:div w:id="2057507509">
          <w:marLeft w:val="806"/>
          <w:marRight w:val="0"/>
          <w:marTop w:val="62"/>
          <w:marBottom w:val="0"/>
          <w:divBdr>
            <w:top w:val="none" w:sz="0" w:space="0" w:color="auto"/>
            <w:left w:val="none" w:sz="0" w:space="0" w:color="auto"/>
            <w:bottom w:val="none" w:sz="0" w:space="0" w:color="auto"/>
            <w:right w:val="none" w:sz="0" w:space="0" w:color="auto"/>
          </w:divBdr>
        </w:div>
        <w:div w:id="859590776">
          <w:marLeft w:val="806"/>
          <w:marRight w:val="0"/>
          <w:marTop w:val="62"/>
          <w:marBottom w:val="0"/>
          <w:divBdr>
            <w:top w:val="none" w:sz="0" w:space="0" w:color="auto"/>
            <w:left w:val="none" w:sz="0" w:space="0" w:color="auto"/>
            <w:bottom w:val="none" w:sz="0" w:space="0" w:color="auto"/>
            <w:right w:val="none" w:sz="0" w:space="0" w:color="auto"/>
          </w:divBdr>
        </w:div>
        <w:div w:id="1510560806">
          <w:marLeft w:val="806"/>
          <w:marRight w:val="0"/>
          <w:marTop w:val="62"/>
          <w:marBottom w:val="0"/>
          <w:divBdr>
            <w:top w:val="none" w:sz="0" w:space="0" w:color="auto"/>
            <w:left w:val="none" w:sz="0" w:space="0" w:color="auto"/>
            <w:bottom w:val="none" w:sz="0" w:space="0" w:color="auto"/>
            <w:right w:val="none" w:sz="0" w:space="0" w:color="auto"/>
          </w:divBdr>
        </w:div>
        <w:div w:id="2003503104">
          <w:marLeft w:val="806"/>
          <w:marRight w:val="0"/>
          <w:marTop w:val="62"/>
          <w:marBottom w:val="0"/>
          <w:divBdr>
            <w:top w:val="none" w:sz="0" w:space="0" w:color="auto"/>
            <w:left w:val="none" w:sz="0" w:space="0" w:color="auto"/>
            <w:bottom w:val="none" w:sz="0" w:space="0" w:color="auto"/>
            <w:right w:val="none" w:sz="0" w:space="0" w:color="auto"/>
          </w:divBdr>
        </w:div>
        <w:div w:id="833421388">
          <w:marLeft w:val="806"/>
          <w:marRight w:val="0"/>
          <w:marTop w:val="62"/>
          <w:marBottom w:val="0"/>
          <w:divBdr>
            <w:top w:val="none" w:sz="0" w:space="0" w:color="auto"/>
            <w:left w:val="none" w:sz="0" w:space="0" w:color="auto"/>
            <w:bottom w:val="none" w:sz="0" w:space="0" w:color="auto"/>
            <w:right w:val="none" w:sz="0" w:space="0" w:color="auto"/>
          </w:divBdr>
        </w:div>
        <w:div w:id="1548760785">
          <w:marLeft w:val="806"/>
          <w:marRight w:val="0"/>
          <w:marTop w:val="62"/>
          <w:marBottom w:val="0"/>
          <w:divBdr>
            <w:top w:val="none" w:sz="0" w:space="0" w:color="auto"/>
            <w:left w:val="none" w:sz="0" w:space="0" w:color="auto"/>
            <w:bottom w:val="none" w:sz="0" w:space="0" w:color="auto"/>
            <w:right w:val="none" w:sz="0" w:space="0" w:color="auto"/>
          </w:divBdr>
        </w:div>
        <w:div w:id="316496149">
          <w:marLeft w:val="806"/>
          <w:marRight w:val="0"/>
          <w:marTop w:val="62"/>
          <w:marBottom w:val="0"/>
          <w:divBdr>
            <w:top w:val="none" w:sz="0" w:space="0" w:color="auto"/>
            <w:left w:val="none" w:sz="0" w:space="0" w:color="auto"/>
            <w:bottom w:val="none" w:sz="0" w:space="0" w:color="auto"/>
            <w:right w:val="none" w:sz="0" w:space="0" w:color="auto"/>
          </w:divBdr>
        </w:div>
        <w:div w:id="170146301">
          <w:marLeft w:val="806"/>
          <w:marRight w:val="0"/>
          <w:marTop w:val="62"/>
          <w:marBottom w:val="0"/>
          <w:divBdr>
            <w:top w:val="none" w:sz="0" w:space="0" w:color="auto"/>
            <w:left w:val="none" w:sz="0" w:space="0" w:color="auto"/>
            <w:bottom w:val="none" w:sz="0" w:space="0" w:color="auto"/>
            <w:right w:val="none" w:sz="0" w:space="0" w:color="auto"/>
          </w:divBdr>
        </w:div>
        <w:div w:id="540943438">
          <w:marLeft w:val="806"/>
          <w:marRight w:val="0"/>
          <w:marTop w:val="62"/>
          <w:marBottom w:val="0"/>
          <w:divBdr>
            <w:top w:val="none" w:sz="0" w:space="0" w:color="auto"/>
            <w:left w:val="none" w:sz="0" w:space="0" w:color="auto"/>
            <w:bottom w:val="none" w:sz="0" w:space="0" w:color="auto"/>
            <w:right w:val="none" w:sz="0" w:space="0" w:color="auto"/>
          </w:divBdr>
        </w:div>
      </w:divsChild>
    </w:div>
    <w:div w:id="1589148123">
      <w:bodyDiv w:val="1"/>
      <w:marLeft w:val="0"/>
      <w:marRight w:val="0"/>
      <w:marTop w:val="0"/>
      <w:marBottom w:val="0"/>
      <w:divBdr>
        <w:top w:val="none" w:sz="0" w:space="0" w:color="auto"/>
        <w:left w:val="none" w:sz="0" w:space="0" w:color="auto"/>
        <w:bottom w:val="none" w:sz="0" w:space="0" w:color="auto"/>
        <w:right w:val="none" w:sz="0" w:space="0" w:color="auto"/>
      </w:divBdr>
    </w:div>
    <w:div w:id="1687098679">
      <w:bodyDiv w:val="1"/>
      <w:marLeft w:val="0"/>
      <w:marRight w:val="0"/>
      <w:marTop w:val="0"/>
      <w:marBottom w:val="0"/>
      <w:divBdr>
        <w:top w:val="none" w:sz="0" w:space="0" w:color="auto"/>
        <w:left w:val="none" w:sz="0" w:space="0" w:color="auto"/>
        <w:bottom w:val="none" w:sz="0" w:space="0" w:color="auto"/>
        <w:right w:val="none" w:sz="0" w:space="0" w:color="auto"/>
      </w:divBdr>
    </w:div>
    <w:div w:id="1695840768">
      <w:bodyDiv w:val="1"/>
      <w:marLeft w:val="0"/>
      <w:marRight w:val="0"/>
      <w:marTop w:val="0"/>
      <w:marBottom w:val="0"/>
      <w:divBdr>
        <w:top w:val="none" w:sz="0" w:space="0" w:color="auto"/>
        <w:left w:val="none" w:sz="0" w:space="0" w:color="auto"/>
        <w:bottom w:val="none" w:sz="0" w:space="0" w:color="auto"/>
        <w:right w:val="none" w:sz="0" w:space="0" w:color="auto"/>
      </w:divBdr>
    </w:div>
    <w:div w:id="1697541470">
      <w:bodyDiv w:val="1"/>
      <w:marLeft w:val="0"/>
      <w:marRight w:val="0"/>
      <w:marTop w:val="0"/>
      <w:marBottom w:val="0"/>
      <w:divBdr>
        <w:top w:val="none" w:sz="0" w:space="0" w:color="auto"/>
        <w:left w:val="none" w:sz="0" w:space="0" w:color="auto"/>
        <w:bottom w:val="none" w:sz="0" w:space="0" w:color="auto"/>
        <w:right w:val="none" w:sz="0" w:space="0" w:color="auto"/>
      </w:divBdr>
      <w:divsChild>
        <w:div w:id="630209990">
          <w:marLeft w:val="547"/>
          <w:marRight w:val="0"/>
          <w:marTop w:val="86"/>
          <w:marBottom w:val="0"/>
          <w:divBdr>
            <w:top w:val="none" w:sz="0" w:space="0" w:color="auto"/>
            <w:left w:val="none" w:sz="0" w:space="0" w:color="auto"/>
            <w:bottom w:val="none" w:sz="0" w:space="0" w:color="auto"/>
            <w:right w:val="none" w:sz="0" w:space="0" w:color="auto"/>
          </w:divBdr>
        </w:div>
      </w:divsChild>
    </w:div>
    <w:div w:id="1710255448">
      <w:bodyDiv w:val="1"/>
      <w:marLeft w:val="0"/>
      <w:marRight w:val="0"/>
      <w:marTop w:val="0"/>
      <w:marBottom w:val="0"/>
      <w:divBdr>
        <w:top w:val="none" w:sz="0" w:space="0" w:color="auto"/>
        <w:left w:val="none" w:sz="0" w:space="0" w:color="auto"/>
        <w:bottom w:val="none" w:sz="0" w:space="0" w:color="auto"/>
        <w:right w:val="none" w:sz="0" w:space="0" w:color="auto"/>
      </w:divBdr>
    </w:div>
    <w:div w:id="1864782139">
      <w:bodyDiv w:val="1"/>
      <w:marLeft w:val="0"/>
      <w:marRight w:val="0"/>
      <w:marTop w:val="0"/>
      <w:marBottom w:val="0"/>
      <w:divBdr>
        <w:top w:val="none" w:sz="0" w:space="0" w:color="auto"/>
        <w:left w:val="none" w:sz="0" w:space="0" w:color="auto"/>
        <w:bottom w:val="none" w:sz="0" w:space="0" w:color="auto"/>
        <w:right w:val="none" w:sz="0" w:space="0" w:color="auto"/>
      </w:divBdr>
    </w:div>
    <w:div w:id="1908374529">
      <w:bodyDiv w:val="1"/>
      <w:marLeft w:val="0"/>
      <w:marRight w:val="0"/>
      <w:marTop w:val="0"/>
      <w:marBottom w:val="0"/>
      <w:divBdr>
        <w:top w:val="none" w:sz="0" w:space="0" w:color="auto"/>
        <w:left w:val="none" w:sz="0" w:space="0" w:color="auto"/>
        <w:bottom w:val="none" w:sz="0" w:space="0" w:color="auto"/>
        <w:right w:val="none" w:sz="0" w:space="0" w:color="auto"/>
      </w:divBdr>
    </w:div>
    <w:div w:id="1941446063">
      <w:bodyDiv w:val="1"/>
      <w:marLeft w:val="0"/>
      <w:marRight w:val="0"/>
      <w:marTop w:val="0"/>
      <w:marBottom w:val="0"/>
      <w:divBdr>
        <w:top w:val="none" w:sz="0" w:space="0" w:color="auto"/>
        <w:left w:val="none" w:sz="0" w:space="0" w:color="auto"/>
        <w:bottom w:val="none" w:sz="0" w:space="0" w:color="auto"/>
        <w:right w:val="none" w:sz="0" w:space="0" w:color="auto"/>
      </w:divBdr>
      <w:divsChild>
        <w:div w:id="70279791">
          <w:marLeft w:val="1382"/>
          <w:marRight w:val="0"/>
          <w:marTop w:val="106"/>
          <w:marBottom w:val="0"/>
          <w:divBdr>
            <w:top w:val="none" w:sz="0" w:space="0" w:color="auto"/>
            <w:left w:val="none" w:sz="0" w:space="0" w:color="auto"/>
            <w:bottom w:val="none" w:sz="0" w:space="0" w:color="auto"/>
            <w:right w:val="none" w:sz="0" w:space="0" w:color="auto"/>
          </w:divBdr>
        </w:div>
        <w:div w:id="500047052">
          <w:marLeft w:val="720"/>
          <w:marRight w:val="0"/>
          <w:marTop w:val="115"/>
          <w:marBottom w:val="0"/>
          <w:divBdr>
            <w:top w:val="none" w:sz="0" w:space="0" w:color="auto"/>
            <w:left w:val="none" w:sz="0" w:space="0" w:color="auto"/>
            <w:bottom w:val="none" w:sz="0" w:space="0" w:color="auto"/>
            <w:right w:val="none" w:sz="0" w:space="0" w:color="auto"/>
          </w:divBdr>
        </w:div>
        <w:div w:id="1344212572">
          <w:marLeft w:val="1382"/>
          <w:marRight w:val="0"/>
          <w:marTop w:val="106"/>
          <w:marBottom w:val="0"/>
          <w:divBdr>
            <w:top w:val="none" w:sz="0" w:space="0" w:color="auto"/>
            <w:left w:val="none" w:sz="0" w:space="0" w:color="auto"/>
            <w:bottom w:val="none" w:sz="0" w:space="0" w:color="auto"/>
            <w:right w:val="none" w:sz="0" w:space="0" w:color="auto"/>
          </w:divBdr>
        </w:div>
        <w:div w:id="1962688166">
          <w:marLeft w:val="1382"/>
          <w:marRight w:val="0"/>
          <w:marTop w:val="106"/>
          <w:marBottom w:val="0"/>
          <w:divBdr>
            <w:top w:val="none" w:sz="0" w:space="0" w:color="auto"/>
            <w:left w:val="none" w:sz="0" w:space="0" w:color="auto"/>
            <w:bottom w:val="none" w:sz="0" w:space="0" w:color="auto"/>
            <w:right w:val="none" w:sz="0" w:space="0" w:color="auto"/>
          </w:divBdr>
        </w:div>
        <w:div w:id="2070422126">
          <w:marLeft w:val="1382"/>
          <w:marRight w:val="0"/>
          <w:marTop w:val="106"/>
          <w:marBottom w:val="0"/>
          <w:divBdr>
            <w:top w:val="none" w:sz="0" w:space="0" w:color="auto"/>
            <w:left w:val="none" w:sz="0" w:space="0" w:color="auto"/>
            <w:bottom w:val="none" w:sz="0" w:space="0" w:color="auto"/>
            <w:right w:val="none" w:sz="0" w:space="0" w:color="auto"/>
          </w:divBdr>
        </w:div>
      </w:divsChild>
    </w:div>
    <w:div w:id="2018145923">
      <w:bodyDiv w:val="1"/>
      <w:marLeft w:val="0"/>
      <w:marRight w:val="0"/>
      <w:marTop w:val="0"/>
      <w:marBottom w:val="0"/>
      <w:divBdr>
        <w:top w:val="none" w:sz="0" w:space="0" w:color="auto"/>
        <w:left w:val="none" w:sz="0" w:space="0" w:color="auto"/>
        <w:bottom w:val="none" w:sz="0" w:space="0" w:color="auto"/>
        <w:right w:val="none" w:sz="0" w:space="0" w:color="auto"/>
      </w:divBdr>
    </w:div>
    <w:div w:id="2143619368">
      <w:bodyDiv w:val="1"/>
      <w:marLeft w:val="0"/>
      <w:marRight w:val="0"/>
      <w:marTop w:val="0"/>
      <w:marBottom w:val="0"/>
      <w:divBdr>
        <w:top w:val="none" w:sz="0" w:space="0" w:color="auto"/>
        <w:left w:val="none" w:sz="0" w:space="0" w:color="auto"/>
        <w:bottom w:val="none" w:sz="0" w:space="0" w:color="auto"/>
        <w:right w:val="none" w:sz="0" w:space="0" w:color="auto"/>
      </w:divBdr>
      <w:divsChild>
        <w:div w:id="171068201">
          <w:marLeft w:val="547"/>
          <w:marRight w:val="0"/>
          <w:marTop w:val="96"/>
          <w:marBottom w:val="0"/>
          <w:divBdr>
            <w:top w:val="none" w:sz="0" w:space="0" w:color="auto"/>
            <w:left w:val="none" w:sz="0" w:space="0" w:color="auto"/>
            <w:bottom w:val="none" w:sz="0" w:space="0" w:color="auto"/>
            <w:right w:val="none" w:sz="0" w:space="0" w:color="auto"/>
          </w:divBdr>
        </w:div>
        <w:div w:id="47175312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help.cbp.gov/app/answers/detail/a_id/720/~/import-and-export-requirements-for-wood-packaging-material-(wpm)-into-the-u.s"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nsi.org/"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ispm15.com/ISPM15_Revised_2009.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cfr.gov/cgi-bin/text-idx?SID=2c6f8333fbb7e26822b41636dc14b6b8&amp;mc=true&amp;node=sp7.5.319.xx10&amp;rgn=div6" TargetMode="External"/><Relationship Id="rId22" Type="http://schemas.openxmlformats.org/officeDocument/2006/relationships/hyperlink" Target="http://www.gs1.or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AB8D305294AF4A84E5EC00F0A181DC" ma:contentTypeVersion="1" ma:contentTypeDescription="Create a new document." ma:contentTypeScope="" ma:versionID="6c09bff7c7a67d54f1e04398be190bb8">
  <xsd:schema xmlns:xsd="http://www.w3.org/2001/XMLSchema" xmlns:xs="http://www.w3.org/2001/XMLSchema" xmlns:p="http://schemas.microsoft.com/office/2006/metadata/properties" xmlns:ns2="8086dc00-5495-4209-8860-a371005c1b69" targetNamespace="http://schemas.microsoft.com/office/2006/metadata/properties" ma:root="true" ma:fieldsID="361823d6d31eb73f76bbf9bf1b4779af" ns2:_="">
    <xsd:import namespace="8086dc00-5495-4209-8860-a371005c1b6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dc00-5495-4209-8860-a371005c1b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E8763-F87C-46E9-9F4B-05F3174D6858}">
  <ds:schemaRefs>
    <ds:schemaRef ds:uri="http://schemas.microsoft.com/office/2006/metadata/properties"/>
  </ds:schemaRefs>
</ds:datastoreItem>
</file>

<file path=customXml/itemProps2.xml><?xml version="1.0" encoding="utf-8"?>
<ds:datastoreItem xmlns:ds="http://schemas.openxmlformats.org/officeDocument/2006/customXml" ds:itemID="{1E0FCEBB-B36E-42E1-8DA5-CD81D5F7EA07}">
  <ds:schemaRefs>
    <ds:schemaRef ds:uri="http://schemas.microsoft.com/office/2006/metadata/longProperties"/>
  </ds:schemaRefs>
</ds:datastoreItem>
</file>

<file path=customXml/itemProps3.xml><?xml version="1.0" encoding="utf-8"?>
<ds:datastoreItem xmlns:ds="http://schemas.openxmlformats.org/officeDocument/2006/customXml" ds:itemID="{D58C6728-AB92-4B05-80CB-F443619CC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dc00-5495-4209-8860-a371005c1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C146DC-1120-4F3F-9C18-76DE381F9739}">
  <ds:schemaRefs>
    <ds:schemaRef ds:uri="http://schemas.microsoft.com/sharepoint/v3/contenttype/forms"/>
  </ds:schemaRefs>
</ds:datastoreItem>
</file>

<file path=customXml/itemProps5.xml><?xml version="1.0" encoding="utf-8"?>
<ds:datastoreItem xmlns:ds="http://schemas.openxmlformats.org/officeDocument/2006/customXml" ds:itemID="{F2BB2D95-85F6-4C7A-8F2F-801014C8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2435</Words>
  <Characters>13882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MATL_WI_0001_ABC Classification</vt:lpstr>
    </vt:vector>
  </TitlesOfParts>
  <Company>Thermo King</Company>
  <LinksUpToDate>false</LinksUpToDate>
  <CharactersWithSpaces>16285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MATL_WI_0001_ABC Classification</dc:title>
  <dc:creator>leors</dc:creator>
  <cp:lastModifiedBy>Schonert, Katie</cp:lastModifiedBy>
  <cp:revision>2</cp:revision>
  <cp:lastPrinted>2011-01-10T22:27:00Z</cp:lastPrinted>
  <dcterms:created xsi:type="dcterms:W3CDTF">2015-09-28T13:08:00Z</dcterms:created>
  <dcterms:modified xsi:type="dcterms:W3CDTF">2015-09-28T13:08:00Z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Dean Donovan</vt:lpwstr>
  </property>
  <property fmtid="{D5CDD505-2E9C-101B-9397-08002B2CF9AE}" pid="4" name="display_urn:schemas-microsoft-com:office:office#Author">
    <vt:lpwstr>Dean Donovan</vt:lpwstr>
  </property>
  <property fmtid="{D5CDD505-2E9C-101B-9397-08002B2CF9AE}" pid="5" name="TemplateUrl">
    <vt:lpwstr/>
  </property>
  <property fmtid="{D5CDD505-2E9C-101B-9397-08002B2CF9AE}" pid="6" name="xd_ProgID">
    <vt:lpwstr/>
  </property>
  <property fmtid="{D5CDD505-2E9C-101B-9397-08002B2CF9AE}" pid="7" name="ContentTypeId">
    <vt:lpwstr>0x010100E0AB8D305294AF4A84E5EC00F0A181DC</vt:lpwstr>
  </property>
  <property fmtid="{D5CDD505-2E9C-101B-9397-08002B2CF9AE}" pid="8" name="RCOID">
    <vt:lpwstr>545586278</vt:lpwstr>
  </property>
</Properties>
</file>